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949C0" w14:textId="77777777" w:rsidR="00A6216D" w:rsidRDefault="00A6216D" w:rsidP="00BE67F7">
      <w:pPr>
        <w:spacing w:line="360" w:lineRule="auto"/>
        <w:jc w:val="center"/>
        <w:rPr>
          <w:rFonts w:ascii="Arial Black" w:hAnsi="Arial Black" w:cs="Arial"/>
          <w:b/>
          <w:sz w:val="22"/>
        </w:rPr>
      </w:pPr>
      <w:bookmarkStart w:id="0" w:name="_GoBack"/>
      <w:bookmarkEnd w:id="0"/>
    </w:p>
    <w:p w14:paraId="38EBB7A9" w14:textId="77777777" w:rsidR="00BE67F7" w:rsidRDefault="00BE67F7" w:rsidP="00BE67F7">
      <w:pPr>
        <w:spacing w:line="360" w:lineRule="auto"/>
        <w:jc w:val="center"/>
        <w:rPr>
          <w:rFonts w:ascii="Arial Black" w:hAnsi="Arial Black" w:cs="Arial"/>
          <w:b/>
          <w:sz w:val="22"/>
        </w:rPr>
      </w:pPr>
      <w:r w:rsidRPr="00E17FDA">
        <w:rPr>
          <w:rFonts w:ascii="Arial Black" w:hAnsi="Arial Black" w:cs="Arial"/>
          <w:b/>
          <w:sz w:val="22"/>
        </w:rPr>
        <w:t xml:space="preserve">NOTAS A LOS ESTADOS FINANCIEROS </w:t>
      </w:r>
    </w:p>
    <w:p w14:paraId="3A357B5C" w14:textId="77777777" w:rsidR="00A6216D" w:rsidRDefault="00A6216D" w:rsidP="00BE67F7">
      <w:pPr>
        <w:spacing w:line="360" w:lineRule="auto"/>
        <w:jc w:val="center"/>
        <w:rPr>
          <w:rFonts w:ascii="Arial Black" w:hAnsi="Arial Black" w:cs="Arial"/>
          <w:b/>
          <w:sz w:val="22"/>
        </w:rPr>
      </w:pPr>
      <w:r>
        <w:rPr>
          <w:rFonts w:ascii="Arial Black" w:hAnsi="Arial Black" w:cs="Arial"/>
          <w:b/>
          <w:sz w:val="22"/>
        </w:rPr>
        <w:t xml:space="preserve">PODER EJECUTIVO </w:t>
      </w:r>
    </w:p>
    <w:p w14:paraId="38EBB7AA" w14:textId="05932755" w:rsidR="00BE67F7" w:rsidRPr="00122602" w:rsidRDefault="00CB3B2B" w:rsidP="00BE67F7">
      <w:pPr>
        <w:spacing w:line="360" w:lineRule="auto"/>
        <w:jc w:val="center"/>
        <w:rPr>
          <w:rFonts w:ascii="Arial Black" w:hAnsi="Arial Black" w:cs="Arial"/>
          <w:b/>
          <w:sz w:val="22"/>
        </w:rPr>
      </w:pPr>
      <w:r>
        <w:rPr>
          <w:rFonts w:ascii="Arial Black" w:hAnsi="Arial Black" w:cs="Arial"/>
          <w:b/>
          <w:sz w:val="22"/>
        </w:rPr>
        <w:t xml:space="preserve">AL 30 DE SEPTIEMBRE DEL </w:t>
      </w:r>
      <w:r w:rsidR="00A6216D">
        <w:rPr>
          <w:rFonts w:ascii="Arial Black" w:hAnsi="Arial Black" w:cs="Arial"/>
          <w:b/>
          <w:sz w:val="22"/>
        </w:rPr>
        <w:t xml:space="preserve">EJERCICIO FISCAL </w:t>
      </w:r>
      <w:r w:rsidR="002E7A15" w:rsidRPr="00122602">
        <w:rPr>
          <w:rFonts w:ascii="Arial Black" w:hAnsi="Arial Black" w:cs="Arial"/>
          <w:b/>
          <w:sz w:val="22"/>
        </w:rPr>
        <w:t>201</w:t>
      </w:r>
      <w:r w:rsidR="00D26F77">
        <w:rPr>
          <w:rFonts w:ascii="Arial Black" w:hAnsi="Arial Black" w:cs="Arial"/>
          <w:b/>
          <w:sz w:val="22"/>
        </w:rPr>
        <w:t>7</w:t>
      </w:r>
    </w:p>
    <w:p w14:paraId="02377B40" w14:textId="77777777" w:rsidR="00E17FDA" w:rsidRDefault="00E17FDA" w:rsidP="00BE67F7">
      <w:pPr>
        <w:spacing w:line="360" w:lineRule="auto"/>
        <w:jc w:val="center"/>
        <w:rPr>
          <w:rFonts w:ascii="Arial" w:hAnsi="Arial" w:cs="Arial"/>
          <w:b/>
        </w:rPr>
      </w:pPr>
    </w:p>
    <w:p w14:paraId="1BCF42DD" w14:textId="77777777" w:rsidR="00A6216D" w:rsidRPr="004542DA" w:rsidRDefault="00A6216D" w:rsidP="00BE67F7">
      <w:pPr>
        <w:spacing w:line="360" w:lineRule="auto"/>
        <w:jc w:val="center"/>
        <w:rPr>
          <w:rFonts w:ascii="Arial" w:hAnsi="Arial" w:cs="Arial"/>
          <w:b/>
        </w:rPr>
      </w:pPr>
    </w:p>
    <w:p w14:paraId="42634081" w14:textId="7A4563B9" w:rsidR="00D409A3" w:rsidRDefault="00D409A3" w:rsidP="00D434DD">
      <w:pPr>
        <w:spacing w:line="360" w:lineRule="auto"/>
        <w:jc w:val="both"/>
        <w:rPr>
          <w:rFonts w:ascii="Arial" w:hAnsi="Arial" w:cs="Arial"/>
          <w:sz w:val="22"/>
        </w:rPr>
      </w:pPr>
      <w:r>
        <w:rPr>
          <w:rFonts w:ascii="Arial" w:hAnsi="Arial" w:cs="Arial"/>
          <w:sz w:val="22"/>
        </w:rPr>
        <w:t>Los Estados Financieros, son el reflejo, del manejo pulcro de las Finanzas Públicas del Estado de Guerrero, que revela información específica necesaria, de conformidad por lo dispuesto en la Ley de Transparencia, y permitir a los usuarios, las consultas pertinentes.</w:t>
      </w:r>
    </w:p>
    <w:p w14:paraId="7227C1DE" w14:textId="77777777" w:rsidR="00D409A3" w:rsidRDefault="00D409A3" w:rsidP="00D434DD">
      <w:pPr>
        <w:spacing w:line="360" w:lineRule="auto"/>
        <w:jc w:val="both"/>
        <w:rPr>
          <w:rFonts w:ascii="Arial" w:hAnsi="Arial" w:cs="Arial"/>
          <w:sz w:val="22"/>
        </w:rPr>
      </w:pPr>
    </w:p>
    <w:p w14:paraId="530F96A2" w14:textId="41E8DB27" w:rsidR="00D409A3" w:rsidRDefault="00D409A3" w:rsidP="00D434DD">
      <w:pPr>
        <w:spacing w:line="360" w:lineRule="auto"/>
        <w:jc w:val="both"/>
        <w:rPr>
          <w:rFonts w:ascii="Arial" w:hAnsi="Arial" w:cs="Arial"/>
          <w:sz w:val="22"/>
        </w:rPr>
      </w:pPr>
      <w:r>
        <w:rPr>
          <w:rFonts w:ascii="Arial" w:hAnsi="Arial" w:cs="Arial"/>
          <w:sz w:val="22"/>
        </w:rPr>
        <w:t>Las notas a los Estados Financieros nos proporcionan lecturas ágiles</w:t>
      </w:r>
      <w:r w:rsidR="009374E7">
        <w:rPr>
          <w:rFonts w:ascii="Arial" w:hAnsi="Arial" w:cs="Arial"/>
          <w:sz w:val="22"/>
        </w:rPr>
        <w:t xml:space="preserve"> de las operaciones financieras, observando estrictamente la normatividad emitida por el Consejo de Armonización Contable (CONAC), así como lo dispuesto por el artículo 49 de la Ley General de Contabilidad Gubernamental, considerando los postulados básicos de revelación suficiente e importancia relativa.</w:t>
      </w:r>
    </w:p>
    <w:p w14:paraId="74AE62C9" w14:textId="77777777" w:rsidR="00D409A3" w:rsidRDefault="00D409A3" w:rsidP="00D434DD">
      <w:pPr>
        <w:spacing w:line="360" w:lineRule="auto"/>
        <w:jc w:val="both"/>
        <w:rPr>
          <w:rFonts w:ascii="Arial" w:hAnsi="Arial" w:cs="Arial"/>
          <w:sz w:val="22"/>
        </w:rPr>
      </w:pPr>
    </w:p>
    <w:p w14:paraId="135C111C" w14:textId="77777777" w:rsidR="00D41022" w:rsidRDefault="00D41022" w:rsidP="00D434DD">
      <w:pPr>
        <w:spacing w:line="360" w:lineRule="auto"/>
        <w:jc w:val="both"/>
        <w:rPr>
          <w:rFonts w:ascii="Arial" w:hAnsi="Arial" w:cs="Arial"/>
          <w:sz w:val="22"/>
        </w:rPr>
      </w:pPr>
    </w:p>
    <w:p w14:paraId="4E090E87" w14:textId="77777777" w:rsidR="00D41022" w:rsidRPr="002745B7" w:rsidRDefault="00D41022" w:rsidP="00D434DD">
      <w:pPr>
        <w:spacing w:line="360" w:lineRule="auto"/>
        <w:jc w:val="both"/>
        <w:rPr>
          <w:rFonts w:ascii="Arial" w:hAnsi="Arial" w:cs="Arial"/>
          <w:sz w:val="22"/>
        </w:rPr>
      </w:pPr>
    </w:p>
    <w:p w14:paraId="22F5CD5E" w14:textId="2C3B040E" w:rsidR="00C83995" w:rsidRDefault="00C83995" w:rsidP="00D434DD">
      <w:pPr>
        <w:spacing w:after="120" w:line="360" w:lineRule="auto"/>
        <w:jc w:val="center"/>
        <w:rPr>
          <w:rFonts w:ascii="Arial" w:hAnsi="Arial" w:cs="Arial"/>
          <w:b/>
          <w:sz w:val="20"/>
          <w:szCs w:val="20"/>
        </w:rPr>
      </w:pPr>
      <w:r w:rsidRPr="00933A23">
        <w:rPr>
          <w:rFonts w:ascii="Arial" w:hAnsi="Arial" w:cs="Arial"/>
          <w:b/>
          <w:sz w:val="20"/>
          <w:szCs w:val="20"/>
        </w:rPr>
        <w:t>NOTAS DE DESGLOSE</w:t>
      </w:r>
    </w:p>
    <w:p w14:paraId="04168319" w14:textId="77777777" w:rsidR="00A6216D" w:rsidRDefault="00A6216D" w:rsidP="00D434DD">
      <w:pPr>
        <w:spacing w:after="120" w:line="360" w:lineRule="auto"/>
        <w:jc w:val="center"/>
        <w:rPr>
          <w:rFonts w:ascii="Arial" w:hAnsi="Arial" w:cs="Arial"/>
          <w:b/>
          <w:sz w:val="20"/>
          <w:szCs w:val="20"/>
        </w:rPr>
      </w:pPr>
    </w:p>
    <w:p w14:paraId="6B93561D" w14:textId="05E0B38E" w:rsidR="00F77CF6" w:rsidRPr="00F77CF6" w:rsidRDefault="00D41022" w:rsidP="00F77CF6">
      <w:pPr>
        <w:spacing w:line="360" w:lineRule="auto"/>
        <w:jc w:val="both"/>
        <w:rPr>
          <w:rFonts w:ascii="Arial" w:hAnsi="Arial" w:cs="Arial"/>
          <w:sz w:val="22"/>
        </w:rPr>
      </w:pPr>
      <w:r w:rsidRPr="00F77CF6">
        <w:rPr>
          <w:rFonts w:ascii="Arial" w:hAnsi="Arial" w:cs="Arial"/>
          <w:sz w:val="22"/>
        </w:rPr>
        <w:t xml:space="preserve">Acorde a las nuevas exigencias de información y transparencia, las notas de desglose, proporcionan información relevante </w:t>
      </w:r>
      <w:r w:rsidR="00F77CF6" w:rsidRPr="00F77CF6">
        <w:rPr>
          <w:rFonts w:ascii="Arial" w:hAnsi="Arial" w:cs="Arial"/>
          <w:sz w:val="22"/>
        </w:rPr>
        <w:t>y suficiente, relativa a los saldos y movimientos de las cuentas consignadas en los Estados Financieros, cuando así lo requieren, integrando la conciliación entre los ingresos presupuestarios y contables, así como entre los egresos.</w:t>
      </w:r>
    </w:p>
    <w:p w14:paraId="4C7F2317" w14:textId="3884AE39" w:rsidR="00D41022" w:rsidRDefault="00D41022" w:rsidP="00D41022">
      <w:pPr>
        <w:spacing w:after="120" w:line="360" w:lineRule="auto"/>
        <w:jc w:val="both"/>
        <w:rPr>
          <w:rFonts w:ascii="Arial" w:hAnsi="Arial" w:cs="Arial"/>
          <w:sz w:val="20"/>
          <w:szCs w:val="20"/>
        </w:rPr>
      </w:pPr>
    </w:p>
    <w:p w14:paraId="6043DE42" w14:textId="77777777" w:rsidR="00A6216D" w:rsidRDefault="00A6216D" w:rsidP="00D41022">
      <w:pPr>
        <w:spacing w:after="120" w:line="360" w:lineRule="auto"/>
        <w:jc w:val="both"/>
        <w:rPr>
          <w:rFonts w:ascii="Arial" w:hAnsi="Arial" w:cs="Arial"/>
          <w:sz w:val="20"/>
          <w:szCs w:val="20"/>
        </w:rPr>
      </w:pPr>
    </w:p>
    <w:p w14:paraId="26B27C8B" w14:textId="77777777" w:rsidR="00A6216D" w:rsidRDefault="00A6216D" w:rsidP="00D41022">
      <w:pPr>
        <w:spacing w:after="120" w:line="360" w:lineRule="auto"/>
        <w:jc w:val="both"/>
        <w:rPr>
          <w:rFonts w:ascii="Arial" w:hAnsi="Arial" w:cs="Arial"/>
          <w:sz w:val="20"/>
          <w:szCs w:val="20"/>
        </w:rPr>
      </w:pPr>
    </w:p>
    <w:p w14:paraId="2860AFEC" w14:textId="77777777" w:rsidR="00A6216D" w:rsidRDefault="00A6216D" w:rsidP="00D41022">
      <w:pPr>
        <w:spacing w:after="120" w:line="360" w:lineRule="auto"/>
        <w:jc w:val="both"/>
        <w:rPr>
          <w:rFonts w:ascii="Arial" w:hAnsi="Arial" w:cs="Arial"/>
          <w:sz w:val="20"/>
          <w:szCs w:val="20"/>
        </w:rPr>
      </w:pPr>
    </w:p>
    <w:p w14:paraId="2049B8E5" w14:textId="77777777" w:rsidR="00A6216D" w:rsidRDefault="00A6216D" w:rsidP="00D41022">
      <w:pPr>
        <w:spacing w:after="120" w:line="360" w:lineRule="auto"/>
        <w:jc w:val="both"/>
        <w:rPr>
          <w:rFonts w:ascii="Arial" w:hAnsi="Arial" w:cs="Arial"/>
          <w:sz w:val="20"/>
          <w:szCs w:val="20"/>
        </w:rPr>
      </w:pPr>
    </w:p>
    <w:p w14:paraId="4746D998" w14:textId="77777777" w:rsidR="00A6216D" w:rsidRPr="00D41022" w:rsidRDefault="00A6216D" w:rsidP="00D41022">
      <w:pPr>
        <w:spacing w:after="120" w:line="360" w:lineRule="auto"/>
        <w:jc w:val="both"/>
        <w:rPr>
          <w:rFonts w:ascii="Arial" w:hAnsi="Arial" w:cs="Arial"/>
          <w:sz w:val="20"/>
          <w:szCs w:val="20"/>
        </w:rPr>
      </w:pPr>
    </w:p>
    <w:p w14:paraId="38EBB7B4" w14:textId="4AD4617F" w:rsidR="00BE67F7" w:rsidRPr="00933A23" w:rsidRDefault="00BE67F7" w:rsidP="002E2E98">
      <w:pPr>
        <w:spacing w:after="120" w:line="360" w:lineRule="auto"/>
        <w:jc w:val="center"/>
        <w:rPr>
          <w:rFonts w:ascii="Arial" w:hAnsi="Arial" w:cs="Arial"/>
          <w:b/>
          <w:sz w:val="20"/>
          <w:szCs w:val="20"/>
        </w:rPr>
      </w:pPr>
      <w:r w:rsidRPr="00933A23">
        <w:rPr>
          <w:rFonts w:ascii="Arial" w:hAnsi="Arial" w:cs="Arial"/>
          <w:b/>
          <w:sz w:val="20"/>
          <w:szCs w:val="20"/>
        </w:rPr>
        <w:lastRenderedPageBreak/>
        <w:t>NOTAS AL ESTADO DE SITUACIÓN FINANCIERA</w:t>
      </w:r>
    </w:p>
    <w:p w14:paraId="38EBB7B6" w14:textId="1AE036A5" w:rsidR="00BE67F7" w:rsidRPr="00933A23" w:rsidRDefault="00BE67F7" w:rsidP="00C83995">
      <w:pPr>
        <w:tabs>
          <w:tab w:val="left" w:pos="240"/>
        </w:tabs>
        <w:spacing w:after="120" w:line="360" w:lineRule="auto"/>
        <w:rPr>
          <w:rFonts w:ascii="Arial" w:hAnsi="Arial" w:cs="Arial"/>
          <w:b/>
          <w:sz w:val="20"/>
          <w:szCs w:val="20"/>
        </w:rPr>
      </w:pPr>
      <w:r w:rsidRPr="00933A23">
        <w:rPr>
          <w:rFonts w:ascii="Arial" w:hAnsi="Arial" w:cs="Arial"/>
          <w:b/>
          <w:sz w:val="20"/>
          <w:szCs w:val="20"/>
        </w:rPr>
        <w:t>A C T I V O</w:t>
      </w:r>
    </w:p>
    <w:p w14:paraId="38EBB7B7" w14:textId="74471CF6" w:rsidR="00BE67F7" w:rsidRPr="00933A23" w:rsidRDefault="00834F23" w:rsidP="00BE67F7">
      <w:pPr>
        <w:spacing w:after="120" w:line="360" w:lineRule="auto"/>
        <w:jc w:val="both"/>
        <w:rPr>
          <w:rFonts w:ascii="Arial" w:hAnsi="Arial" w:cs="Arial"/>
          <w:b/>
          <w:sz w:val="20"/>
          <w:szCs w:val="20"/>
        </w:rPr>
      </w:pPr>
      <w:r w:rsidRPr="00933A23">
        <w:rPr>
          <w:rFonts w:ascii="Arial" w:hAnsi="Arial" w:cs="Arial"/>
          <w:b/>
          <w:sz w:val="20"/>
          <w:szCs w:val="20"/>
        </w:rPr>
        <w:t xml:space="preserve">● </w:t>
      </w:r>
      <w:r w:rsidR="00BE67F7" w:rsidRPr="00933A23">
        <w:rPr>
          <w:rFonts w:ascii="Arial" w:hAnsi="Arial" w:cs="Arial"/>
          <w:b/>
          <w:sz w:val="20"/>
          <w:szCs w:val="20"/>
        </w:rPr>
        <w:t>Efectivo y Equivalentes</w:t>
      </w:r>
    </w:p>
    <w:p w14:paraId="16218B63" w14:textId="4DA55E5C" w:rsidR="00E17290" w:rsidRDefault="007B56AB" w:rsidP="007B56AB">
      <w:pPr>
        <w:spacing w:after="120" w:line="360" w:lineRule="auto"/>
        <w:jc w:val="center"/>
        <w:rPr>
          <w:rFonts w:ascii="Arial" w:hAnsi="Arial" w:cs="Arial"/>
          <w:bCs/>
          <w:sz w:val="20"/>
          <w:szCs w:val="20"/>
        </w:rPr>
      </w:pPr>
      <w:r w:rsidRPr="00933A23">
        <w:rPr>
          <w:rFonts w:ascii="Arial" w:hAnsi="Arial" w:cs="Arial"/>
          <w:bCs/>
          <w:sz w:val="20"/>
          <w:szCs w:val="20"/>
        </w:rPr>
        <w:t>(Miles de pesos)</w:t>
      </w:r>
    </w:p>
    <w:tbl>
      <w:tblPr>
        <w:tblW w:w="6680" w:type="dxa"/>
        <w:jc w:val="center"/>
        <w:tblCellMar>
          <w:left w:w="70" w:type="dxa"/>
          <w:right w:w="70" w:type="dxa"/>
        </w:tblCellMar>
        <w:tblLook w:val="04A0" w:firstRow="1" w:lastRow="0" w:firstColumn="1" w:lastColumn="0" w:noHBand="0" w:noVBand="1"/>
      </w:tblPr>
      <w:tblGrid>
        <w:gridCol w:w="3640"/>
        <w:gridCol w:w="1560"/>
        <w:gridCol w:w="1480"/>
      </w:tblGrid>
      <w:tr w:rsidR="00306A1D" w:rsidRPr="00306A1D" w14:paraId="61CDD852" w14:textId="77777777" w:rsidTr="00C139FB">
        <w:trPr>
          <w:trHeight w:val="525"/>
          <w:jc w:val="center"/>
        </w:trPr>
        <w:tc>
          <w:tcPr>
            <w:tcW w:w="3640"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hideMark/>
          </w:tcPr>
          <w:p w14:paraId="7472C0BB" w14:textId="77777777" w:rsidR="00306A1D" w:rsidRPr="00C139FB" w:rsidRDefault="00306A1D" w:rsidP="00306A1D">
            <w:pPr>
              <w:jc w:val="center"/>
              <w:rPr>
                <w:rFonts w:ascii="Arial" w:hAnsi="Arial" w:cs="Arial"/>
                <w:b/>
                <w:bCs/>
                <w:color w:val="FFFFFF" w:themeColor="background1"/>
                <w:sz w:val="16"/>
                <w:szCs w:val="16"/>
              </w:rPr>
            </w:pPr>
            <w:r w:rsidRPr="00C139FB">
              <w:rPr>
                <w:rFonts w:ascii="Arial" w:hAnsi="Arial" w:cs="Arial"/>
                <w:b/>
                <w:bCs/>
                <w:color w:val="FFFFFF" w:themeColor="background1"/>
                <w:sz w:val="16"/>
                <w:szCs w:val="16"/>
              </w:rPr>
              <w:t xml:space="preserve">Concepto </w:t>
            </w:r>
          </w:p>
        </w:tc>
        <w:tc>
          <w:tcPr>
            <w:tcW w:w="1560" w:type="dxa"/>
            <w:tcBorders>
              <w:top w:val="single" w:sz="8" w:space="0" w:color="auto"/>
              <w:left w:val="nil"/>
              <w:bottom w:val="single" w:sz="8" w:space="0" w:color="auto"/>
              <w:right w:val="single" w:sz="8" w:space="0" w:color="auto"/>
            </w:tcBorders>
            <w:shd w:val="clear" w:color="auto" w:fill="17365D" w:themeFill="text2" w:themeFillShade="BF"/>
            <w:vAlign w:val="center"/>
            <w:hideMark/>
          </w:tcPr>
          <w:p w14:paraId="7158CB01" w14:textId="77777777" w:rsidR="00306A1D" w:rsidRPr="00C139FB" w:rsidRDefault="00306A1D" w:rsidP="00306A1D">
            <w:pPr>
              <w:jc w:val="center"/>
              <w:rPr>
                <w:rFonts w:ascii="Arial" w:hAnsi="Arial" w:cs="Arial"/>
                <w:b/>
                <w:bCs/>
                <w:color w:val="FFFFFF" w:themeColor="background1"/>
                <w:sz w:val="16"/>
                <w:szCs w:val="16"/>
              </w:rPr>
            </w:pPr>
            <w:r w:rsidRPr="00C139FB">
              <w:rPr>
                <w:rFonts w:ascii="Arial" w:hAnsi="Arial" w:cs="Arial"/>
                <w:b/>
                <w:bCs/>
                <w:color w:val="FFFFFF" w:themeColor="background1"/>
                <w:sz w:val="16"/>
                <w:szCs w:val="16"/>
              </w:rPr>
              <w:t>30 de septiembre de 2017</w:t>
            </w:r>
          </w:p>
        </w:tc>
        <w:tc>
          <w:tcPr>
            <w:tcW w:w="1480" w:type="dxa"/>
            <w:tcBorders>
              <w:top w:val="single" w:sz="8" w:space="0" w:color="auto"/>
              <w:left w:val="nil"/>
              <w:bottom w:val="single" w:sz="8" w:space="0" w:color="auto"/>
              <w:right w:val="single" w:sz="8" w:space="0" w:color="auto"/>
            </w:tcBorders>
            <w:shd w:val="clear" w:color="auto" w:fill="17365D" w:themeFill="text2" w:themeFillShade="BF"/>
            <w:vAlign w:val="center"/>
            <w:hideMark/>
          </w:tcPr>
          <w:p w14:paraId="7670D5FA" w14:textId="77777777" w:rsidR="00306A1D" w:rsidRPr="00C139FB" w:rsidRDefault="00306A1D" w:rsidP="00306A1D">
            <w:pPr>
              <w:jc w:val="center"/>
              <w:rPr>
                <w:rFonts w:ascii="Arial" w:hAnsi="Arial" w:cs="Arial"/>
                <w:b/>
                <w:bCs/>
                <w:color w:val="FFFFFF" w:themeColor="background1"/>
                <w:sz w:val="16"/>
                <w:szCs w:val="16"/>
              </w:rPr>
            </w:pPr>
            <w:r w:rsidRPr="00C139FB">
              <w:rPr>
                <w:rFonts w:ascii="Arial" w:hAnsi="Arial" w:cs="Arial"/>
                <w:b/>
                <w:bCs/>
                <w:color w:val="FFFFFF" w:themeColor="background1"/>
                <w:sz w:val="16"/>
                <w:szCs w:val="16"/>
              </w:rPr>
              <w:t>31 de diciembre de 2016</w:t>
            </w:r>
          </w:p>
        </w:tc>
      </w:tr>
      <w:tr w:rsidR="00306A1D" w:rsidRPr="00306A1D" w14:paraId="7CDBC346" w14:textId="77777777" w:rsidTr="00306A1D">
        <w:trPr>
          <w:trHeight w:val="300"/>
          <w:jc w:val="center"/>
        </w:trPr>
        <w:tc>
          <w:tcPr>
            <w:tcW w:w="36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0F0AF69" w14:textId="5A6A4888" w:rsidR="00306A1D" w:rsidRPr="00306A1D" w:rsidRDefault="00306A1D" w:rsidP="00306A1D">
            <w:pPr>
              <w:jc w:val="both"/>
              <w:rPr>
                <w:rFonts w:ascii="Arial" w:hAnsi="Arial" w:cs="Arial"/>
                <w:color w:val="000000"/>
                <w:sz w:val="16"/>
                <w:szCs w:val="16"/>
              </w:rPr>
            </w:pPr>
            <w:r w:rsidRPr="00306A1D">
              <w:rPr>
                <w:rFonts w:ascii="Arial" w:hAnsi="Arial" w:cs="Arial"/>
                <w:color w:val="000000"/>
                <w:sz w:val="16"/>
                <w:szCs w:val="16"/>
              </w:rPr>
              <w:t>Efectivo</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14:paraId="1C861F05"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11,467</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6060CE6B"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11,667</w:t>
            </w:r>
          </w:p>
        </w:tc>
      </w:tr>
      <w:tr w:rsidR="00306A1D" w:rsidRPr="00306A1D" w14:paraId="0DA45E35" w14:textId="77777777" w:rsidTr="00306A1D">
        <w:trPr>
          <w:trHeight w:val="300"/>
          <w:jc w:val="center"/>
        </w:trPr>
        <w:tc>
          <w:tcPr>
            <w:tcW w:w="36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5DF3D8F" w14:textId="3A6D7707" w:rsidR="00306A1D" w:rsidRPr="00306A1D" w:rsidRDefault="00306A1D" w:rsidP="00306A1D">
            <w:pPr>
              <w:jc w:val="both"/>
              <w:rPr>
                <w:rFonts w:ascii="Arial" w:hAnsi="Arial" w:cs="Arial"/>
                <w:color w:val="000000"/>
                <w:sz w:val="16"/>
                <w:szCs w:val="16"/>
              </w:rPr>
            </w:pPr>
            <w:r w:rsidRPr="00306A1D">
              <w:rPr>
                <w:rFonts w:ascii="Arial" w:hAnsi="Arial" w:cs="Arial"/>
                <w:color w:val="000000"/>
                <w:sz w:val="16"/>
                <w:szCs w:val="16"/>
              </w:rPr>
              <w:t>Bancos/Tesorería</w:t>
            </w:r>
          </w:p>
        </w:tc>
        <w:tc>
          <w:tcPr>
            <w:tcW w:w="1560" w:type="dxa"/>
            <w:tcBorders>
              <w:top w:val="nil"/>
              <w:left w:val="nil"/>
              <w:bottom w:val="single" w:sz="4" w:space="0" w:color="auto"/>
              <w:right w:val="single" w:sz="8" w:space="0" w:color="auto"/>
            </w:tcBorders>
            <w:shd w:val="clear" w:color="auto" w:fill="auto"/>
            <w:vAlign w:val="center"/>
            <w:hideMark/>
          </w:tcPr>
          <w:p w14:paraId="3049446F"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461,752</w:t>
            </w:r>
          </w:p>
        </w:tc>
        <w:tc>
          <w:tcPr>
            <w:tcW w:w="1480" w:type="dxa"/>
            <w:tcBorders>
              <w:top w:val="nil"/>
              <w:left w:val="nil"/>
              <w:bottom w:val="single" w:sz="4" w:space="0" w:color="auto"/>
              <w:right w:val="single" w:sz="8" w:space="0" w:color="auto"/>
            </w:tcBorders>
            <w:shd w:val="clear" w:color="auto" w:fill="auto"/>
            <w:vAlign w:val="center"/>
            <w:hideMark/>
          </w:tcPr>
          <w:p w14:paraId="05D3139F"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235,692</w:t>
            </w:r>
          </w:p>
        </w:tc>
      </w:tr>
      <w:tr w:rsidR="00306A1D" w:rsidRPr="00306A1D" w14:paraId="7F9BB067" w14:textId="77777777" w:rsidTr="00306A1D">
        <w:trPr>
          <w:trHeight w:val="300"/>
          <w:jc w:val="center"/>
        </w:trPr>
        <w:tc>
          <w:tcPr>
            <w:tcW w:w="36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5BEC781" w14:textId="147C176B" w:rsidR="00306A1D" w:rsidRPr="00306A1D" w:rsidRDefault="00306A1D" w:rsidP="00306A1D">
            <w:pPr>
              <w:jc w:val="both"/>
              <w:rPr>
                <w:rFonts w:ascii="Arial" w:hAnsi="Arial" w:cs="Arial"/>
                <w:color w:val="000000"/>
                <w:sz w:val="16"/>
                <w:szCs w:val="16"/>
              </w:rPr>
            </w:pPr>
            <w:r w:rsidRPr="00306A1D">
              <w:rPr>
                <w:rFonts w:ascii="Arial" w:hAnsi="Arial" w:cs="Arial"/>
                <w:color w:val="000000"/>
                <w:sz w:val="16"/>
                <w:szCs w:val="16"/>
              </w:rPr>
              <w:t>Bancos/Dependencias y Otros</w:t>
            </w:r>
          </w:p>
        </w:tc>
        <w:tc>
          <w:tcPr>
            <w:tcW w:w="1560" w:type="dxa"/>
            <w:tcBorders>
              <w:top w:val="nil"/>
              <w:left w:val="nil"/>
              <w:bottom w:val="single" w:sz="4" w:space="0" w:color="auto"/>
              <w:right w:val="single" w:sz="8" w:space="0" w:color="auto"/>
            </w:tcBorders>
            <w:shd w:val="clear" w:color="auto" w:fill="auto"/>
            <w:vAlign w:val="center"/>
            <w:hideMark/>
          </w:tcPr>
          <w:p w14:paraId="32F89F2B"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1,123,194</w:t>
            </w:r>
          </w:p>
        </w:tc>
        <w:tc>
          <w:tcPr>
            <w:tcW w:w="1480" w:type="dxa"/>
            <w:tcBorders>
              <w:top w:val="nil"/>
              <w:left w:val="nil"/>
              <w:bottom w:val="single" w:sz="4" w:space="0" w:color="auto"/>
              <w:right w:val="single" w:sz="8" w:space="0" w:color="auto"/>
            </w:tcBorders>
            <w:shd w:val="clear" w:color="auto" w:fill="auto"/>
            <w:vAlign w:val="center"/>
            <w:hideMark/>
          </w:tcPr>
          <w:p w14:paraId="06FEFF7A"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1,569,674</w:t>
            </w:r>
          </w:p>
        </w:tc>
      </w:tr>
      <w:tr w:rsidR="00306A1D" w:rsidRPr="00306A1D" w14:paraId="4EB124D9" w14:textId="77777777" w:rsidTr="00306A1D">
        <w:trPr>
          <w:trHeight w:val="300"/>
          <w:jc w:val="center"/>
        </w:trPr>
        <w:tc>
          <w:tcPr>
            <w:tcW w:w="36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2CB4B65" w14:textId="779B2F78" w:rsidR="00306A1D" w:rsidRPr="00306A1D" w:rsidRDefault="00306A1D" w:rsidP="00306A1D">
            <w:pPr>
              <w:jc w:val="both"/>
              <w:rPr>
                <w:rFonts w:ascii="Arial" w:hAnsi="Arial" w:cs="Arial"/>
                <w:color w:val="000000"/>
                <w:sz w:val="16"/>
                <w:szCs w:val="16"/>
              </w:rPr>
            </w:pPr>
            <w:r w:rsidRPr="00306A1D">
              <w:rPr>
                <w:rFonts w:ascii="Arial" w:hAnsi="Arial" w:cs="Arial"/>
                <w:color w:val="000000"/>
                <w:sz w:val="16"/>
                <w:szCs w:val="16"/>
              </w:rPr>
              <w:t>Inversiones Temporales (Hasta 3 meses)</w:t>
            </w:r>
          </w:p>
        </w:tc>
        <w:tc>
          <w:tcPr>
            <w:tcW w:w="1560" w:type="dxa"/>
            <w:tcBorders>
              <w:top w:val="nil"/>
              <w:left w:val="nil"/>
              <w:bottom w:val="single" w:sz="4" w:space="0" w:color="auto"/>
              <w:right w:val="single" w:sz="8" w:space="0" w:color="auto"/>
            </w:tcBorders>
            <w:shd w:val="clear" w:color="auto" w:fill="auto"/>
            <w:vAlign w:val="center"/>
            <w:hideMark/>
          </w:tcPr>
          <w:p w14:paraId="1C180B6E"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1,221,262</w:t>
            </w:r>
          </w:p>
        </w:tc>
        <w:tc>
          <w:tcPr>
            <w:tcW w:w="1480" w:type="dxa"/>
            <w:tcBorders>
              <w:top w:val="nil"/>
              <w:left w:val="nil"/>
              <w:bottom w:val="single" w:sz="4" w:space="0" w:color="auto"/>
              <w:right w:val="single" w:sz="8" w:space="0" w:color="auto"/>
            </w:tcBorders>
            <w:shd w:val="clear" w:color="auto" w:fill="auto"/>
            <w:vAlign w:val="center"/>
            <w:hideMark/>
          </w:tcPr>
          <w:p w14:paraId="617B351B"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1,751,613</w:t>
            </w:r>
          </w:p>
        </w:tc>
      </w:tr>
      <w:tr w:rsidR="00306A1D" w:rsidRPr="00306A1D" w14:paraId="3E30553D" w14:textId="77777777" w:rsidTr="00306A1D">
        <w:trPr>
          <w:trHeight w:val="300"/>
          <w:jc w:val="center"/>
        </w:trPr>
        <w:tc>
          <w:tcPr>
            <w:tcW w:w="36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CDF8314" w14:textId="7246122C" w:rsidR="00306A1D" w:rsidRPr="00306A1D" w:rsidRDefault="00306A1D" w:rsidP="00306A1D">
            <w:pPr>
              <w:jc w:val="both"/>
              <w:rPr>
                <w:rFonts w:ascii="Arial" w:hAnsi="Arial" w:cs="Arial"/>
                <w:color w:val="000000"/>
                <w:sz w:val="16"/>
                <w:szCs w:val="16"/>
              </w:rPr>
            </w:pPr>
            <w:r w:rsidRPr="00306A1D">
              <w:rPr>
                <w:rFonts w:ascii="Arial" w:hAnsi="Arial" w:cs="Arial"/>
                <w:color w:val="000000"/>
                <w:sz w:val="16"/>
                <w:szCs w:val="16"/>
              </w:rPr>
              <w:t>Fondos con Afectación Específica</w:t>
            </w:r>
          </w:p>
        </w:tc>
        <w:tc>
          <w:tcPr>
            <w:tcW w:w="1560" w:type="dxa"/>
            <w:tcBorders>
              <w:top w:val="nil"/>
              <w:left w:val="nil"/>
              <w:bottom w:val="single" w:sz="4" w:space="0" w:color="auto"/>
              <w:right w:val="single" w:sz="8" w:space="0" w:color="auto"/>
            </w:tcBorders>
            <w:shd w:val="clear" w:color="auto" w:fill="auto"/>
            <w:vAlign w:val="center"/>
            <w:hideMark/>
          </w:tcPr>
          <w:p w14:paraId="25B485D6"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170,613</w:t>
            </w:r>
          </w:p>
        </w:tc>
        <w:tc>
          <w:tcPr>
            <w:tcW w:w="1480" w:type="dxa"/>
            <w:tcBorders>
              <w:top w:val="nil"/>
              <w:left w:val="nil"/>
              <w:bottom w:val="single" w:sz="4" w:space="0" w:color="auto"/>
              <w:right w:val="single" w:sz="8" w:space="0" w:color="auto"/>
            </w:tcBorders>
            <w:shd w:val="clear" w:color="auto" w:fill="auto"/>
            <w:vAlign w:val="center"/>
            <w:hideMark/>
          </w:tcPr>
          <w:p w14:paraId="197F280E"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170,613</w:t>
            </w:r>
          </w:p>
        </w:tc>
      </w:tr>
      <w:tr w:rsidR="00306A1D" w:rsidRPr="00306A1D" w14:paraId="6D76DA94" w14:textId="77777777" w:rsidTr="00306A1D">
        <w:trPr>
          <w:trHeight w:val="450"/>
          <w:jc w:val="center"/>
        </w:trPr>
        <w:tc>
          <w:tcPr>
            <w:tcW w:w="36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F42C8D2" w14:textId="05341647" w:rsidR="00306A1D" w:rsidRPr="00306A1D" w:rsidRDefault="00306A1D" w:rsidP="00306A1D">
            <w:pPr>
              <w:jc w:val="both"/>
              <w:rPr>
                <w:rFonts w:ascii="Arial" w:hAnsi="Arial" w:cs="Arial"/>
                <w:color w:val="000000"/>
                <w:sz w:val="16"/>
                <w:szCs w:val="16"/>
              </w:rPr>
            </w:pPr>
            <w:r w:rsidRPr="00306A1D">
              <w:rPr>
                <w:rFonts w:ascii="Arial" w:hAnsi="Arial" w:cs="Arial"/>
                <w:color w:val="000000"/>
                <w:sz w:val="16"/>
                <w:szCs w:val="16"/>
              </w:rPr>
              <w:t>Depósitos de Fondos de Terceros en Garantía y/o Administración</w:t>
            </w:r>
          </w:p>
        </w:tc>
        <w:tc>
          <w:tcPr>
            <w:tcW w:w="1560" w:type="dxa"/>
            <w:tcBorders>
              <w:top w:val="nil"/>
              <w:left w:val="nil"/>
              <w:bottom w:val="single" w:sz="4" w:space="0" w:color="auto"/>
              <w:right w:val="single" w:sz="8" w:space="0" w:color="auto"/>
            </w:tcBorders>
            <w:shd w:val="clear" w:color="auto" w:fill="auto"/>
            <w:vAlign w:val="center"/>
            <w:hideMark/>
          </w:tcPr>
          <w:p w14:paraId="201EFAF4"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1,429</w:t>
            </w:r>
          </w:p>
        </w:tc>
        <w:tc>
          <w:tcPr>
            <w:tcW w:w="1480" w:type="dxa"/>
            <w:tcBorders>
              <w:top w:val="nil"/>
              <w:left w:val="nil"/>
              <w:bottom w:val="single" w:sz="4" w:space="0" w:color="auto"/>
              <w:right w:val="single" w:sz="8" w:space="0" w:color="auto"/>
            </w:tcBorders>
            <w:shd w:val="clear" w:color="auto" w:fill="auto"/>
            <w:vAlign w:val="center"/>
            <w:hideMark/>
          </w:tcPr>
          <w:p w14:paraId="5F8E343C"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1,436</w:t>
            </w:r>
          </w:p>
        </w:tc>
      </w:tr>
      <w:tr w:rsidR="00306A1D" w:rsidRPr="00306A1D" w14:paraId="7163F10E" w14:textId="77777777" w:rsidTr="00306A1D">
        <w:trPr>
          <w:trHeight w:val="315"/>
          <w:jc w:val="center"/>
        </w:trPr>
        <w:tc>
          <w:tcPr>
            <w:tcW w:w="3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AC587B" w14:textId="3A4751AC" w:rsidR="00306A1D" w:rsidRPr="00306A1D" w:rsidRDefault="00306A1D" w:rsidP="00306A1D">
            <w:pPr>
              <w:jc w:val="both"/>
              <w:rPr>
                <w:rFonts w:ascii="Arial" w:hAnsi="Arial" w:cs="Arial"/>
                <w:color w:val="000000"/>
                <w:sz w:val="16"/>
                <w:szCs w:val="16"/>
              </w:rPr>
            </w:pPr>
            <w:r w:rsidRPr="00306A1D">
              <w:rPr>
                <w:rFonts w:ascii="Arial" w:hAnsi="Arial" w:cs="Arial"/>
                <w:color w:val="000000"/>
                <w:sz w:val="16"/>
                <w:szCs w:val="16"/>
              </w:rPr>
              <w:t>Otros Efectivos y Equivalentes</w:t>
            </w:r>
          </w:p>
        </w:tc>
        <w:tc>
          <w:tcPr>
            <w:tcW w:w="1560" w:type="dxa"/>
            <w:tcBorders>
              <w:top w:val="nil"/>
              <w:left w:val="nil"/>
              <w:bottom w:val="nil"/>
              <w:right w:val="single" w:sz="8" w:space="0" w:color="auto"/>
            </w:tcBorders>
            <w:shd w:val="clear" w:color="auto" w:fill="auto"/>
            <w:vAlign w:val="center"/>
            <w:hideMark/>
          </w:tcPr>
          <w:p w14:paraId="05CB0BC7"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2,802,416</w:t>
            </w:r>
          </w:p>
        </w:tc>
        <w:tc>
          <w:tcPr>
            <w:tcW w:w="1480" w:type="dxa"/>
            <w:tcBorders>
              <w:top w:val="nil"/>
              <w:left w:val="nil"/>
              <w:bottom w:val="nil"/>
              <w:right w:val="single" w:sz="8" w:space="0" w:color="auto"/>
            </w:tcBorders>
            <w:shd w:val="clear" w:color="auto" w:fill="auto"/>
            <w:vAlign w:val="center"/>
            <w:hideMark/>
          </w:tcPr>
          <w:p w14:paraId="598F8165"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2,061,469</w:t>
            </w:r>
          </w:p>
        </w:tc>
      </w:tr>
      <w:tr w:rsidR="00306A1D" w:rsidRPr="00306A1D" w14:paraId="35A6C898" w14:textId="77777777" w:rsidTr="00306A1D">
        <w:trPr>
          <w:trHeight w:val="315"/>
          <w:jc w:val="center"/>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39F79" w14:textId="77777777" w:rsidR="00306A1D" w:rsidRPr="00306A1D" w:rsidRDefault="00306A1D" w:rsidP="00306A1D">
            <w:pPr>
              <w:jc w:val="center"/>
              <w:rPr>
                <w:rFonts w:ascii="Arial" w:hAnsi="Arial" w:cs="Arial"/>
                <w:color w:val="000000"/>
                <w:sz w:val="16"/>
                <w:szCs w:val="16"/>
              </w:rPr>
            </w:pPr>
            <w:r w:rsidRPr="00306A1D">
              <w:rPr>
                <w:rFonts w:ascii="Arial" w:hAnsi="Arial" w:cs="Arial"/>
                <w:color w:val="000000"/>
                <w:sz w:val="16"/>
                <w:szCs w:val="16"/>
              </w:rPr>
              <w:t>Totales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4BA9A253"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5,792,134</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45C51AED" w14:textId="77777777" w:rsidR="00306A1D" w:rsidRPr="00306A1D" w:rsidRDefault="00306A1D" w:rsidP="00306A1D">
            <w:pPr>
              <w:jc w:val="right"/>
              <w:rPr>
                <w:rFonts w:ascii="Arial" w:hAnsi="Arial" w:cs="Arial"/>
                <w:color w:val="000000"/>
                <w:sz w:val="16"/>
                <w:szCs w:val="16"/>
              </w:rPr>
            </w:pPr>
            <w:r w:rsidRPr="00306A1D">
              <w:rPr>
                <w:rFonts w:ascii="Arial" w:hAnsi="Arial" w:cs="Arial"/>
                <w:color w:val="000000"/>
                <w:sz w:val="16"/>
                <w:szCs w:val="16"/>
              </w:rPr>
              <w:t>5,802,165</w:t>
            </w:r>
          </w:p>
        </w:tc>
      </w:tr>
    </w:tbl>
    <w:p w14:paraId="2C4A280E" w14:textId="77777777" w:rsidR="00306A1D" w:rsidRDefault="00306A1D" w:rsidP="007B56AB">
      <w:pPr>
        <w:spacing w:after="120" w:line="360" w:lineRule="auto"/>
        <w:jc w:val="center"/>
        <w:rPr>
          <w:rFonts w:ascii="Arial" w:hAnsi="Arial" w:cs="Arial"/>
          <w:bCs/>
          <w:sz w:val="20"/>
          <w:szCs w:val="20"/>
        </w:rPr>
      </w:pPr>
    </w:p>
    <w:p w14:paraId="6FE23A3C" w14:textId="77777777" w:rsidR="007B56AB" w:rsidRPr="00933A23" w:rsidRDefault="007B56AB" w:rsidP="007B56AB">
      <w:pPr>
        <w:spacing w:after="120" w:line="360" w:lineRule="auto"/>
        <w:jc w:val="center"/>
        <w:rPr>
          <w:rFonts w:ascii="Arial" w:hAnsi="Arial" w:cs="Arial"/>
          <w:bCs/>
          <w:sz w:val="20"/>
          <w:szCs w:val="20"/>
        </w:rPr>
      </w:pPr>
    </w:p>
    <w:p w14:paraId="38EBB7FC" w14:textId="3BB0B12B" w:rsidR="00BE67F7" w:rsidRPr="00933A23" w:rsidRDefault="00834F23" w:rsidP="00BE67F7">
      <w:pPr>
        <w:spacing w:after="120" w:line="360" w:lineRule="auto"/>
        <w:jc w:val="both"/>
        <w:rPr>
          <w:rFonts w:ascii="Arial" w:hAnsi="Arial" w:cs="Arial"/>
          <w:b/>
          <w:sz w:val="20"/>
          <w:szCs w:val="20"/>
        </w:rPr>
      </w:pPr>
      <w:r w:rsidRPr="00933A23">
        <w:rPr>
          <w:rFonts w:ascii="Arial" w:hAnsi="Arial" w:cs="Arial"/>
          <w:b/>
          <w:sz w:val="20"/>
          <w:szCs w:val="20"/>
        </w:rPr>
        <w:t xml:space="preserve">● </w:t>
      </w:r>
      <w:r w:rsidR="00BE67F7" w:rsidRPr="00933A23">
        <w:rPr>
          <w:rFonts w:ascii="Arial" w:hAnsi="Arial" w:cs="Arial"/>
          <w:b/>
          <w:sz w:val="20"/>
          <w:szCs w:val="20"/>
        </w:rPr>
        <w:t>Derechos a recibir Efectivo y Equivalentes</w:t>
      </w:r>
    </w:p>
    <w:p w14:paraId="102652E7" w14:textId="77777777" w:rsidR="00681E14" w:rsidRDefault="00681E14" w:rsidP="00681E14">
      <w:pPr>
        <w:spacing w:after="120" w:line="360" w:lineRule="auto"/>
        <w:jc w:val="center"/>
        <w:rPr>
          <w:rFonts w:ascii="Arial" w:hAnsi="Arial" w:cs="Arial"/>
          <w:bCs/>
          <w:sz w:val="20"/>
          <w:szCs w:val="20"/>
        </w:rPr>
      </w:pPr>
      <w:r w:rsidRPr="00933A23">
        <w:rPr>
          <w:rFonts w:ascii="Arial" w:hAnsi="Arial" w:cs="Arial"/>
          <w:bCs/>
          <w:sz w:val="20"/>
          <w:szCs w:val="20"/>
        </w:rPr>
        <w:t>(Miles de pesos)</w:t>
      </w:r>
    </w:p>
    <w:tbl>
      <w:tblPr>
        <w:tblW w:w="6680" w:type="dxa"/>
        <w:jc w:val="center"/>
        <w:tblCellMar>
          <w:left w:w="70" w:type="dxa"/>
          <w:right w:w="70" w:type="dxa"/>
        </w:tblCellMar>
        <w:tblLook w:val="04A0" w:firstRow="1" w:lastRow="0" w:firstColumn="1" w:lastColumn="0" w:noHBand="0" w:noVBand="1"/>
      </w:tblPr>
      <w:tblGrid>
        <w:gridCol w:w="3640"/>
        <w:gridCol w:w="1560"/>
        <w:gridCol w:w="1480"/>
      </w:tblGrid>
      <w:tr w:rsidR="00306A1D" w:rsidRPr="00306A1D" w14:paraId="45464C4A" w14:textId="77777777" w:rsidTr="00C139FB">
        <w:trPr>
          <w:trHeight w:val="465"/>
          <w:jc w:val="center"/>
        </w:trPr>
        <w:tc>
          <w:tcPr>
            <w:tcW w:w="3640"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hideMark/>
          </w:tcPr>
          <w:p w14:paraId="3C6376D2" w14:textId="77777777" w:rsidR="00306A1D" w:rsidRPr="00306A1D" w:rsidRDefault="00306A1D" w:rsidP="00306A1D">
            <w:pPr>
              <w:jc w:val="center"/>
              <w:rPr>
                <w:rFonts w:ascii="Arial" w:hAnsi="Arial" w:cs="Arial"/>
                <w:b/>
                <w:bCs/>
                <w:color w:val="000000"/>
                <w:sz w:val="16"/>
                <w:szCs w:val="16"/>
              </w:rPr>
            </w:pPr>
            <w:r w:rsidRPr="00C139FB">
              <w:rPr>
                <w:rFonts w:ascii="Arial" w:hAnsi="Arial" w:cs="Arial"/>
                <w:b/>
                <w:bCs/>
                <w:color w:val="FFFFFF" w:themeColor="background1"/>
                <w:sz w:val="16"/>
                <w:szCs w:val="16"/>
              </w:rPr>
              <w:t xml:space="preserve">Concepto </w:t>
            </w:r>
          </w:p>
        </w:tc>
        <w:tc>
          <w:tcPr>
            <w:tcW w:w="1560" w:type="dxa"/>
            <w:tcBorders>
              <w:top w:val="single" w:sz="8" w:space="0" w:color="auto"/>
              <w:left w:val="nil"/>
              <w:bottom w:val="single" w:sz="8" w:space="0" w:color="auto"/>
              <w:right w:val="single" w:sz="8" w:space="0" w:color="auto"/>
            </w:tcBorders>
            <w:shd w:val="clear" w:color="auto" w:fill="17365D" w:themeFill="text2" w:themeFillShade="BF"/>
            <w:vAlign w:val="center"/>
            <w:hideMark/>
          </w:tcPr>
          <w:p w14:paraId="4ED21B39" w14:textId="77777777" w:rsidR="00306A1D" w:rsidRPr="00C139FB" w:rsidRDefault="00306A1D" w:rsidP="00306A1D">
            <w:pPr>
              <w:jc w:val="center"/>
              <w:rPr>
                <w:rFonts w:ascii="Arial" w:hAnsi="Arial" w:cs="Arial"/>
                <w:b/>
                <w:bCs/>
                <w:color w:val="FFFFFF" w:themeColor="background1"/>
                <w:sz w:val="16"/>
                <w:szCs w:val="16"/>
              </w:rPr>
            </w:pPr>
            <w:r w:rsidRPr="00C139FB">
              <w:rPr>
                <w:rFonts w:ascii="Arial" w:hAnsi="Arial" w:cs="Arial"/>
                <w:b/>
                <w:bCs/>
                <w:color w:val="FFFFFF" w:themeColor="background1"/>
                <w:sz w:val="16"/>
                <w:szCs w:val="16"/>
              </w:rPr>
              <w:t>30 de septiembre de 2017</w:t>
            </w:r>
          </w:p>
        </w:tc>
        <w:tc>
          <w:tcPr>
            <w:tcW w:w="1480" w:type="dxa"/>
            <w:tcBorders>
              <w:top w:val="single" w:sz="8" w:space="0" w:color="auto"/>
              <w:left w:val="nil"/>
              <w:bottom w:val="single" w:sz="8" w:space="0" w:color="auto"/>
              <w:right w:val="single" w:sz="8" w:space="0" w:color="auto"/>
            </w:tcBorders>
            <w:shd w:val="clear" w:color="auto" w:fill="17365D" w:themeFill="text2" w:themeFillShade="BF"/>
            <w:vAlign w:val="center"/>
            <w:hideMark/>
          </w:tcPr>
          <w:p w14:paraId="6D6B37BD" w14:textId="77777777" w:rsidR="00306A1D" w:rsidRPr="00C139FB" w:rsidRDefault="00306A1D" w:rsidP="00306A1D">
            <w:pPr>
              <w:jc w:val="center"/>
              <w:rPr>
                <w:rFonts w:ascii="Arial" w:hAnsi="Arial" w:cs="Arial"/>
                <w:b/>
                <w:bCs/>
                <w:color w:val="FFFFFF" w:themeColor="background1"/>
                <w:sz w:val="16"/>
                <w:szCs w:val="16"/>
              </w:rPr>
            </w:pPr>
            <w:r w:rsidRPr="00C139FB">
              <w:rPr>
                <w:rFonts w:ascii="Arial" w:hAnsi="Arial" w:cs="Arial"/>
                <w:b/>
                <w:bCs/>
                <w:color w:val="FFFFFF" w:themeColor="background1"/>
                <w:sz w:val="16"/>
                <w:szCs w:val="16"/>
              </w:rPr>
              <w:t>31 de diciembre de 2016</w:t>
            </w:r>
          </w:p>
        </w:tc>
      </w:tr>
      <w:tr w:rsidR="00306A1D" w:rsidRPr="00306A1D" w14:paraId="5594C0DB" w14:textId="77777777" w:rsidTr="00306A1D">
        <w:trPr>
          <w:trHeight w:val="300"/>
          <w:jc w:val="center"/>
        </w:trPr>
        <w:tc>
          <w:tcPr>
            <w:tcW w:w="36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4E98BD3" w14:textId="77777777" w:rsidR="00306A1D" w:rsidRPr="00306A1D" w:rsidRDefault="00306A1D" w:rsidP="00306A1D">
            <w:pPr>
              <w:jc w:val="both"/>
              <w:rPr>
                <w:rFonts w:ascii="Arial" w:hAnsi="Arial" w:cs="Arial"/>
                <w:color w:val="000000"/>
                <w:sz w:val="16"/>
                <w:szCs w:val="12"/>
              </w:rPr>
            </w:pPr>
            <w:r w:rsidRPr="00306A1D">
              <w:rPr>
                <w:rFonts w:ascii="Arial" w:hAnsi="Arial" w:cs="Arial"/>
                <w:color w:val="000000"/>
                <w:sz w:val="16"/>
                <w:szCs w:val="12"/>
              </w:rPr>
              <w:t>Cuentas por Cobrar a Corto Plazo</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14:paraId="7EA5E86D" w14:textId="77777777" w:rsidR="00306A1D" w:rsidRPr="00306A1D" w:rsidRDefault="00306A1D" w:rsidP="00306A1D">
            <w:pPr>
              <w:jc w:val="right"/>
              <w:rPr>
                <w:rFonts w:ascii="Arial" w:hAnsi="Arial" w:cs="Arial"/>
                <w:color w:val="000000"/>
                <w:sz w:val="16"/>
                <w:szCs w:val="12"/>
              </w:rPr>
            </w:pPr>
            <w:r w:rsidRPr="00306A1D">
              <w:rPr>
                <w:rFonts w:ascii="Arial" w:hAnsi="Arial" w:cs="Arial"/>
                <w:color w:val="000000"/>
                <w:sz w:val="16"/>
                <w:szCs w:val="12"/>
              </w:rPr>
              <w:t>1,676,338</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3DD2A871" w14:textId="77777777" w:rsidR="00306A1D" w:rsidRPr="00306A1D" w:rsidRDefault="00306A1D" w:rsidP="00306A1D">
            <w:pPr>
              <w:jc w:val="right"/>
              <w:rPr>
                <w:rFonts w:ascii="Arial" w:hAnsi="Arial" w:cs="Arial"/>
                <w:color w:val="000000"/>
                <w:sz w:val="16"/>
                <w:szCs w:val="12"/>
              </w:rPr>
            </w:pPr>
            <w:r w:rsidRPr="00306A1D">
              <w:rPr>
                <w:rFonts w:ascii="Arial" w:hAnsi="Arial" w:cs="Arial"/>
                <w:color w:val="000000"/>
                <w:sz w:val="16"/>
                <w:szCs w:val="12"/>
              </w:rPr>
              <w:t>1,258,178</w:t>
            </w:r>
          </w:p>
        </w:tc>
      </w:tr>
      <w:tr w:rsidR="00306A1D" w:rsidRPr="00306A1D" w14:paraId="42EA8BE0" w14:textId="77777777" w:rsidTr="00306A1D">
        <w:trPr>
          <w:trHeight w:val="315"/>
          <w:jc w:val="center"/>
        </w:trPr>
        <w:tc>
          <w:tcPr>
            <w:tcW w:w="3640" w:type="dxa"/>
            <w:tcBorders>
              <w:top w:val="nil"/>
              <w:left w:val="single" w:sz="8" w:space="0" w:color="auto"/>
              <w:bottom w:val="nil"/>
              <w:right w:val="single" w:sz="8" w:space="0" w:color="auto"/>
            </w:tcBorders>
            <w:shd w:val="clear" w:color="auto" w:fill="auto"/>
            <w:vAlign w:val="center"/>
            <w:hideMark/>
          </w:tcPr>
          <w:p w14:paraId="46B7682D" w14:textId="77777777" w:rsidR="00306A1D" w:rsidRPr="00306A1D" w:rsidRDefault="00306A1D" w:rsidP="00306A1D">
            <w:pPr>
              <w:jc w:val="both"/>
              <w:rPr>
                <w:rFonts w:ascii="Arial" w:hAnsi="Arial" w:cs="Arial"/>
                <w:color w:val="000000"/>
                <w:sz w:val="16"/>
                <w:szCs w:val="12"/>
              </w:rPr>
            </w:pPr>
            <w:r w:rsidRPr="00306A1D">
              <w:rPr>
                <w:rFonts w:ascii="Arial" w:hAnsi="Arial" w:cs="Arial"/>
                <w:color w:val="000000"/>
                <w:sz w:val="16"/>
                <w:szCs w:val="12"/>
              </w:rPr>
              <w:t>Deudores Diversos por Cobrar a Corto Plazo</w:t>
            </w:r>
          </w:p>
        </w:tc>
        <w:tc>
          <w:tcPr>
            <w:tcW w:w="1560" w:type="dxa"/>
            <w:tcBorders>
              <w:top w:val="nil"/>
              <w:left w:val="nil"/>
              <w:bottom w:val="nil"/>
              <w:right w:val="single" w:sz="8" w:space="0" w:color="auto"/>
            </w:tcBorders>
            <w:shd w:val="clear" w:color="auto" w:fill="auto"/>
            <w:vAlign w:val="center"/>
            <w:hideMark/>
          </w:tcPr>
          <w:p w14:paraId="05245F4B" w14:textId="77777777" w:rsidR="00306A1D" w:rsidRPr="00306A1D" w:rsidRDefault="00306A1D" w:rsidP="00306A1D">
            <w:pPr>
              <w:jc w:val="right"/>
              <w:rPr>
                <w:rFonts w:ascii="Arial" w:hAnsi="Arial" w:cs="Arial"/>
                <w:color w:val="000000"/>
                <w:sz w:val="16"/>
                <w:szCs w:val="12"/>
              </w:rPr>
            </w:pPr>
            <w:r w:rsidRPr="00306A1D">
              <w:rPr>
                <w:rFonts w:ascii="Arial" w:hAnsi="Arial" w:cs="Arial"/>
                <w:color w:val="000000"/>
                <w:sz w:val="16"/>
                <w:szCs w:val="12"/>
              </w:rPr>
              <w:t>2,828,851</w:t>
            </w:r>
          </w:p>
        </w:tc>
        <w:tc>
          <w:tcPr>
            <w:tcW w:w="1480" w:type="dxa"/>
            <w:tcBorders>
              <w:top w:val="nil"/>
              <w:left w:val="nil"/>
              <w:bottom w:val="nil"/>
              <w:right w:val="single" w:sz="8" w:space="0" w:color="auto"/>
            </w:tcBorders>
            <w:shd w:val="clear" w:color="auto" w:fill="auto"/>
            <w:vAlign w:val="center"/>
            <w:hideMark/>
          </w:tcPr>
          <w:p w14:paraId="5F6864A9" w14:textId="77777777" w:rsidR="00306A1D" w:rsidRPr="00306A1D" w:rsidRDefault="00306A1D" w:rsidP="00306A1D">
            <w:pPr>
              <w:jc w:val="right"/>
              <w:rPr>
                <w:rFonts w:ascii="Arial" w:hAnsi="Arial" w:cs="Arial"/>
                <w:color w:val="000000"/>
                <w:sz w:val="16"/>
                <w:szCs w:val="12"/>
              </w:rPr>
            </w:pPr>
            <w:r w:rsidRPr="00306A1D">
              <w:rPr>
                <w:rFonts w:ascii="Arial" w:hAnsi="Arial" w:cs="Arial"/>
                <w:color w:val="000000"/>
                <w:sz w:val="16"/>
                <w:szCs w:val="12"/>
              </w:rPr>
              <w:t>1,877,617</w:t>
            </w:r>
          </w:p>
        </w:tc>
      </w:tr>
      <w:tr w:rsidR="00306A1D" w:rsidRPr="00306A1D" w14:paraId="2E7E6B15" w14:textId="77777777" w:rsidTr="00306A1D">
        <w:trPr>
          <w:trHeight w:val="315"/>
          <w:jc w:val="center"/>
        </w:trPr>
        <w:tc>
          <w:tcPr>
            <w:tcW w:w="3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4DA1B" w14:textId="77777777" w:rsidR="00306A1D" w:rsidRPr="00306A1D" w:rsidRDefault="00306A1D" w:rsidP="00306A1D">
            <w:pPr>
              <w:jc w:val="center"/>
              <w:rPr>
                <w:rFonts w:ascii="Arial" w:hAnsi="Arial" w:cs="Arial"/>
                <w:b/>
                <w:bCs/>
                <w:color w:val="000000"/>
                <w:sz w:val="16"/>
                <w:szCs w:val="12"/>
              </w:rPr>
            </w:pPr>
            <w:r w:rsidRPr="00306A1D">
              <w:rPr>
                <w:rFonts w:ascii="Arial" w:hAnsi="Arial" w:cs="Arial"/>
                <w:b/>
                <w:bCs/>
                <w:color w:val="000000"/>
                <w:sz w:val="16"/>
                <w:szCs w:val="12"/>
              </w:rPr>
              <w:t>Totales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4300D75" w14:textId="77777777" w:rsidR="00306A1D" w:rsidRPr="00306A1D" w:rsidRDefault="00306A1D" w:rsidP="00306A1D">
            <w:pPr>
              <w:jc w:val="right"/>
              <w:rPr>
                <w:rFonts w:ascii="Arial" w:hAnsi="Arial" w:cs="Arial"/>
                <w:b/>
                <w:bCs/>
                <w:color w:val="000000"/>
                <w:sz w:val="16"/>
                <w:szCs w:val="12"/>
              </w:rPr>
            </w:pPr>
            <w:r w:rsidRPr="00306A1D">
              <w:rPr>
                <w:rFonts w:ascii="Arial" w:hAnsi="Arial" w:cs="Arial"/>
                <w:b/>
                <w:bCs/>
                <w:color w:val="000000"/>
                <w:sz w:val="16"/>
                <w:szCs w:val="12"/>
              </w:rPr>
              <w:t>4,505,189</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02811E92" w14:textId="77777777" w:rsidR="00306A1D" w:rsidRPr="00306A1D" w:rsidRDefault="00306A1D" w:rsidP="00306A1D">
            <w:pPr>
              <w:jc w:val="right"/>
              <w:rPr>
                <w:rFonts w:ascii="Arial" w:hAnsi="Arial" w:cs="Arial"/>
                <w:b/>
                <w:bCs/>
                <w:color w:val="000000"/>
                <w:sz w:val="16"/>
                <w:szCs w:val="12"/>
              </w:rPr>
            </w:pPr>
            <w:r w:rsidRPr="00306A1D">
              <w:rPr>
                <w:rFonts w:ascii="Arial" w:hAnsi="Arial" w:cs="Arial"/>
                <w:b/>
                <w:bCs/>
                <w:color w:val="000000"/>
                <w:sz w:val="16"/>
                <w:szCs w:val="12"/>
              </w:rPr>
              <w:t>3,135,795</w:t>
            </w:r>
          </w:p>
        </w:tc>
      </w:tr>
    </w:tbl>
    <w:p w14:paraId="31053BE9" w14:textId="77777777" w:rsidR="00306A1D" w:rsidRDefault="00306A1D" w:rsidP="00681E14">
      <w:pPr>
        <w:spacing w:after="120" w:line="360" w:lineRule="auto"/>
        <w:jc w:val="center"/>
        <w:rPr>
          <w:rFonts w:ascii="Arial" w:hAnsi="Arial" w:cs="Arial"/>
          <w:bCs/>
          <w:sz w:val="20"/>
          <w:szCs w:val="20"/>
        </w:rPr>
      </w:pPr>
    </w:p>
    <w:p w14:paraId="38EBB880" w14:textId="2BAD1789" w:rsidR="00BE67F7" w:rsidRPr="00933A23" w:rsidRDefault="00BE67F7" w:rsidP="00BE67F7">
      <w:pPr>
        <w:spacing w:after="120" w:line="360" w:lineRule="auto"/>
        <w:jc w:val="both"/>
        <w:rPr>
          <w:rFonts w:ascii="Arial" w:hAnsi="Arial" w:cs="Arial"/>
          <w:b/>
          <w:sz w:val="20"/>
          <w:szCs w:val="20"/>
        </w:rPr>
      </w:pPr>
      <w:r w:rsidRPr="00933A23">
        <w:rPr>
          <w:rFonts w:ascii="Arial" w:hAnsi="Arial" w:cs="Arial"/>
          <w:b/>
          <w:sz w:val="20"/>
          <w:szCs w:val="20"/>
        </w:rPr>
        <w:t>Deudores Diversos por Cobrar a Corto Plazo</w:t>
      </w:r>
    </w:p>
    <w:p w14:paraId="38EBB881" w14:textId="7F639527" w:rsidR="00BE67F7" w:rsidRDefault="00BE67F7" w:rsidP="00BE67F7">
      <w:pPr>
        <w:spacing w:after="120" w:line="360" w:lineRule="auto"/>
        <w:jc w:val="both"/>
        <w:rPr>
          <w:rFonts w:ascii="Arial" w:hAnsi="Arial" w:cs="Arial"/>
          <w:sz w:val="20"/>
          <w:szCs w:val="20"/>
        </w:rPr>
      </w:pPr>
      <w:r w:rsidRPr="00933A23">
        <w:rPr>
          <w:rFonts w:ascii="Arial" w:hAnsi="Arial" w:cs="Arial"/>
          <w:sz w:val="20"/>
          <w:szCs w:val="20"/>
        </w:rPr>
        <w:t xml:space="preserve">Representan los derechos de cobro originados en el desarrollo de las actividades y por responsabilidades y gastos por comprobar, de los cuales se espera recibir una </w:t>
      </w:r>
      <w:r w:rsidRPr="00933A23">
        <w:rPr>
          <w:rFonts w:ascii="Arial" w:hAnsi="Arial" w:cs="Arial"/>
          <w:color w:val="000000" w:themeColor="text1"/>
          <w:sz w:val="20"/>
          <w:szCs w:val="20"/>
        </w:rPr>
        <w:t>contraprestación representada en recursos, bi</w:t>
      </w:r>
      <w:r w:rsidR="0042212D" w:rsidRPr="00933A23">
        <w:rPr>
          <w:rFonts w:ascii="Arial" w:hAnsi="Arial" w:cs="Arial"/>
          <w:color w:val="000000" w:themeColor="text1"/>
          <w:sz w:val="20"/>
          <w:szCs w:val="20"/>
        </w:rPr>
        <w:t xml:space="preserve">enes o servicios, el saldo al </w:t>
      </w:r>
      <w:r w:rsidR="00586101" w:rsidRPr="00933A23">
        <w:rPr>
          <w:rFonts w:ascii="Arial" w:hAnsi="Arial" w:cs="Arial"/>
          <w:color w:val="000000" w:themeColor="text1"/>
          <w:sz w:val="20"/>
          <w:szCs w:val="20"/>
        </w:rPr>
        <w:t>3</w:t>
      </w:r>
      <w:r w:rsidR="00D643AA">
        <w:rPr>
          <w:rFonts w:ascii="Arial" w:hAnsi="Arial" w:cs="Arial"/>
          <w:color w:val="000000" w:themeColor="text1"/>
          <w:sz w:val="20"/>
          <w:szCs w:val="20"/>
        </w:rPr>
        <w:t>0</w:t>
      </w:r>
      <w:r w:rsidR="00586101" w:rsidRPr="00933A23">
        <w:rPr>
          <w:rFonts w:ascii="Arial" w:hAnsi="Arial" w:cs="Arial"/>
          <w:color w:val="000000" w:themeColor="text1"/>
          <w:sz w:val="20"/>
          <w:szCs w:val="20"/>
        </w:rPr>
        <w:t xml:space="preserve"> </w:t>
      </w:r>
      <w:r w:rsidR="0042212D" w:rsidRPr="00933A23">
        <w:rPr>
          <w:rFonts w:ascii="Arial" w:hAnsi="Arial" w:cs="Arial"/>
          <w:color w:val="000000" w:themeColor="text1"/>
          <w:sz w:val="20"/>
          <w:szCs w:val="20"/>
        </w:rPr>
        <w:t xml:space="preserve">de </w:t>
      </w:r>
      <w:r w:rsidR="00D643AA">
        <w:rPr>
          <w:rFonts w:ascii="Arial" w:hAnsi="Arial" w:cs="Arial"/>
          <w:color w:val="000000" w:themeColor="text1"/>
          <w:sz w:val="20"/>
          <w:szCs w:val="20"/>
        </w:rPr>
        <w:t>septiembre</w:t>
      </w:r>
      <w:r w:rsidRPr="00933A23">
        <w:rPr>
          <w:rFonts w:ascii="Arial" w:hAnsi="Arial" w:cs="Arial"/>
          <w:color w:val="000000" w:themeColor="text1"/>
          <w:sz w:val="20"/>
          <w:szCs w:val="20"/>
        </w:rPr>
        <w:t xml:space="preserve"> </w:t>
      </w:r>
      <w:r w:rsidR="002519DE">
        <w:rPr>
          <w:rFonts w:ascii="Arial" w:hAnsi="Arial" w:cs="Arial"/>
          <w:sz w:val="20"/>
          <w:szCs w:val="20"/>
        </w:rPr>
        <w:t>de 201</w:t>
      </w:r>
      <w:r w:rsidR="00D643AA">
        <w:rPr>
          <w:rFonts w:ascii="Arial" w:hAnsi="Arial" w:cs="Arial"/>
          <w:sz w:val="20"/>
          <w:szCs w:val="20"/>
        </w:rPr>
        <w:t>7</w:t>
      </w:r>
      <w:r w:rsidRPr="00933A23">
        <w:rPr>
          <w:rFonts w:ascii="Arial" w:hAnsi="Arial" w:cs="Arial"/>
          <w:sz w:val="20"/>
          <w:szCs w:val="20"/>
        </w:rPr>
        <w:t xml:space="preserve"> es de </w:t>
      </w:r>
      <w:r w:rsidR="00346F2D" w:rsidRPr="00D643AA">
        <w:rPr>
          <w:rFonts w:ascii="Arial" w:hAnsi="Arial" w:cs="Arial"/>
          <w:color w:val="000000" w:themeColor="text1"/>
          <w:sz w:val="20"/>
          <w:szCs w:val="20"/>
        </w:rPr>
        <w:t>2,828,851</w:t>
      </w:r>
      <w:r w:rsidR="00346F2D">
        <w:rPr>
          <w:rFonts w:ascii="Arial" w:hAnsi="Arial" w:cs="Arial"/>
          <w:color w:val="000000" w:themeColor="text1"/>
          <w:sz w:val="20"/>
          <w:szCs w:val="20"/>
        </w:rPr>
        <w:t xml:space="preserve"> </w:t>
      </w:r>
      <w:r w:rsidRPr="00933A23">
        <w:rPr>
          <w:rFonts w:ascii="Arial" w:hAnsi="Arial" w:cs="Arial"/>
          <w:sz w:val="20"/>
          <w:szCs w:val="20"/>
        </w:rPr>
        <w:t>miles de pesos, mismos que están integrados de la siguiente manera:</w:t>
      </w:r>
    </w:p>
    <w:p w14:paraId="38EBB8D8" w14:textId="0E3DAC3D" w:rsidR="00BE67F7" w:rsidRPr="00933A23" w:rsidRDefault="00BE67F7" w:rsidP="00BE67F7">
      <w:pPr>
        <w:spacing w:after="120" w:line="360" w:lineRule="auto"/>
        <w:jc w:val="both"/>
        <w:rPr>
          <w:rFonts w:ascii="Arial" w:hAnsi="Arial" w:cs="Arial"/>
          <w:sz w:val="20"/>
          <w:szCs w:val="20"/>
        </w:rPr>
      </w:pPr>
    </w:p>
    <w:p w14:paraId="0564B932" w14:textId="27F0F065" w:rsidR="00E10A26" w:rsidRDefault="00E10A26" w:rsidP="00BE67F7">
      <w:pPr>
        <w:spacing w:after="120" w:line="360" w:lineRule="auto"/>
        <w:jc w:val="both"/>
        <w:rPr>
          <w:rFonts w:ascii="Arial" w:hAnsi="Arial" w:cs="Arial"/>
          <w:sz w:val="20"/>
          <w:szCs w:val="20"/>
        </w:rPr>
      </w:pPr>
    </w:p>
    <w:p w14:paraId="0F184284" w14:textId="77777777" w:rsidR="00E10A26" w:rsidRDefault="00E10A26" w:rsidP="00BE67F7">
      <w:pPr>
        <w:spacing w:after="120" w:line="360" w:lineRule="auto"/>
        <w:jc w:val="both"/>
        <w:rPr>
          <w:rFonts w:ascii="Arial" w:hAnsi="Arial" w:cs="Arial"/>
          <w:sz w:val="20"/>
          <w:szCs w:val="20"/>
        </w:rPr>
      </w:pPr>
    </w:p>
    <w:tbl>
      <w:tblPr>
        <w:tblW w:w="5075" w:type="pct"/>
        <w:tblCellMar>
          <w:left w:w="70" w:type="dxa"/>
          <w:right w:w="70" w:type="dxa"/>
        </w:tblCellMar>
        <w:tblLook w:val="04A0" w:firstRow="1" w:lastRow="0" w:firstColumn="1" w:lastColumn="0" w:noHBand="0" w:noVBand="1"/>
      </w:tblPr>
      <w:tblGrid>
        <w:gridCol w:w="2838"/>
        <w:gridCol w:w="1335"/>
        <w:gridCol w:w="1195"/>
        <w:gridCol w:w="1195"/>
        <w:gridCol w:w="1152"/>
        <w:gridCol w:w="1245"/>
      </w:tblGrid>
      <w:tr w:rsidR="00D643AA" w:rsidRPr="00D643AA" w14:paraId="2A0B3488" w14:textId="77777777" w:rsidTr="00C139FB">
        <w:trPr>
          <w:trHeight w:val="235"/>
        </w:trPr>
        <w:tc>
          <w:tcPr>
            <w:tcW w:w="1583" w:type="pct"/>
            <w:vMerge w:val="restart"/>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2EB32971" w14:textId="4F7C6443" w:rsidR="00D643AA" w:rsidRPr="00D643AA" w:rsidRDefault="00D643AA" w:rsidP="00D643AA">
            <w:pPr>
              <w:jc w:val="center"/>
              <w:rPr>
                <w:rFonts w:ascii="Arial Narrow" w:hAnsi="Arial Narrow" w:cs="Arial"/>
                <w:b/>
                <w:bCs/>
                <w:sz w:val="20"/>
                <w:szCs w:val="20"/>
              </w:rPr>
            </w:pPr>
            <w:r w:rsidRPr="00D643AA">
              <w:rPr>
                <w:rFonts w:ascii="Arial Narrow" w:hAnsi="Arial Narrow" w:cs="Arial"/>
                <w:b/>
                <w:bCs/>
                <w:sz w:val="20"/>
                <w:szCs w:val="20"/>
              </w:rPr>
              <w:lastRenderedPageBreak/>
              <w:t>S</w:t>
            </w:r>
            <w:r>
              <w:rPr>
                <w:rFonts w:ascii="Arial Narrow" w:hAnsi="Arial Narrow" w:cs="Arial"/>
                <w:b/>
                <w:bCs/>
                <w:sz w:val="20"/>
                <w:szCs w:val="20"/>
              </w:rPr>
              <w:t>ub</w:t>
            </w:r>
            <w:r w:rsidRPr="00D643AA">
              <w:rPr>
                <w:rFonts w:ascii="Arial Narrow" w:hAnsi="Arial Narrow" w:cs="Arial"/>
                <w:b/>
                <w:bCs/>
                <w:sz w:val="20"/>
                <w:szCs w:val="20"/>
              </w:rPr>
              <w:t>-</w:t>
            </w:r>
            <w:r>
              <w:rPr>
                <w:rFonts w:ascii="Arial Narrow" w:hAnsi="Arial Narrow" w:cs="Arial"/>
                <w:b/>
                <w:bCs/>
                <w:sz w:val="20"/>
                <w:szCs w:val="20"/>
              </w:rPr>
              <w:t>cuenta</w:t>
            </w:r>
          </w:p>
        </w:tc>
        <w:tc>
          <w:tcPr>
            <w:tcW w:w="745" w:type="pct"/>
            <w:vMerge w:val="restart"/>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2A49ACC4" w14:textId="365E647B" w:rsidR="00D643AA" w:rsidRPr="00D643AA" w:rsidRDefault="00D643AA" w:rsidP="00D643AA">
            <w:pPr>
              <w:jc w:val="center"/>
              <w:rPr>
                <w:rFonts w:ascii="Arial Narrow" w:hAnsi="Arial Narrow" w:cs="Arial"/>
                <w:b/>
                <w:bCs/>
                <w:sz w:val="20"/>
                <w:szCs w:val="20"/>
              </w:rPr>
            </w:pPr>
            <w:r w:rsidRPr="00D643AA">
              <w:rPr>
                <w:rFonts w:ascii="Arial Narrow" w:hAnsi="Arial Narrow" w:cs="Arial"/>
                <w:b/>
                <w:bCs/>
                <w:sz w:val="20"/>
                <w:szCs w:val="20"/>
              </w:rPr>
              <w:t xml:space="preserve"> </w:t>
            </w:r>
            <w:r>
              <w:rPr>
                <w:rFonts w:ascii="Arial Narrow" w:hAnsi="Arial Narrow" w:cs="Arial"/>
                <w:b/>
                <w:bCs/>
                <w:sz w:val="20"/>
                <w:szCs w:val="20"/>
              </w:rPr>
              <w:t>Saldo</w:t>
            </w:r>
            <w:r w:rsidRPr="00D643AA">
              <w:rPr>
                <w:rFonts w:ascii="Arial Narrow" w:hAnsi="Arial Narrow" w:cs="Arial"/>
                <w:b/>
                <w:bCs/>
                <w:sz w:val="20"/>
                <w:szCs w:val="20"/>
              </w:rPr>
              <w:t xml:space="preserve"> </w:t>
            </w:r>
          </w:p>
        </w:tc>
        <w:tc>
          <w:tcPr>
            <w:tcW w:w="2672" w:type="pct"/>
            <w:gridSpan w:val="4"/>
            <w:tcBorders>
              <w:top w:val="single" w:sz="4" w:space="0" w:color="auto"/>
              <w:left w:val="nil"/>
              <w:bottom w:val="single" w:sz="4" w:space="0" w:color="auto"/>
              <w:right w:val="single" w:sz="4" w:space="0" w:color="000000"/>
            </w:tcBorders>
            <w:shd w:val="clear" w:color="auto" w:fill="17365D" w:themeFill="text2" w:themeFillShade="BF"/>
            <w:vAlign w:val="center"/>
            <w:hideMark/>
          </w:tcPr>
          <w:p w14:paraId="6775B770" w14:textId="77777777" w:rsidR="00D643AA" w:rsidRPr="00D643AA" w:rsidRDefault="00D643AA" w:rsidP="00D643AA">
            <w:pPr>
              <w:jc w:val="center"/>
              <w:rPr>
                <w:rFonts w:ascii="Arial Narrow" w:hAnsi="Arial Narrow" w:cs="Arial"/>
                <w:b/>
                <w:bCs/>
                <w:sz w:val="22"/>
                <w:szCs w:val="22"/>
              </w:rPr>
            </w:pPr>
            <w:r w:rsidRPr="00D643AA">
              <w:rPr>
                <w:rFonts w:ascii="Arial Narrow" w:hAnsi="Arial Narrow" w:cs="Arial"/>
                <w:b/>
                <w:bCs/>
                <w:sz w:val="22"/>
                <w:szCs w:val="22"/>
              </w:rPr>
              <w:t xml:space="preserve"> Antigüedad en número de días </w:t>
            </w:r>
          </w:p>
        </w:tc>
      </w:tr>
      <w:tr w:rsidR="00D643AA" w:rsidRPr="00D643AA" w14:paraId="12D83BD7" w14:textId="77777777" w:rsidTr="00C139FB">
        <w:trPr>
          <w:trHeight w:val="333"/>
        </w:trPr>
        <w:tc>
          <w:tcPr>
            <w:tcW w:w="1583" w:type="pct"/>
            <w:vMerge/>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0AEB0E04" w14:textId="77777777" w:rsidR="00D643AA" w:rsidRPr="00D643AA" w:rsidRDefault="00D643AA" w:rsidP="00D643AA">
            <w:pPr>
              <w:rPr>
                <w:rFonts w:ascii="Arial Narrow" w:hAnsi="Arial Narrow" w:cs="Arial"/>
                <w:b/>
                <w:bCs/>
                <w:sz w:val="20"/>
                <w:szCs w:val="20"/>
              </w:rPr>
            </w:pPr>
          </w:p>
        </w:tc>
        <w:tc>
          <w:tcPr>
            <w:tcW w:w="745" w:type="pct"/>
            <w:vMerge/>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7685634D" w14:textId="77777777" w:rsidR="00D643AA" w:rsidRPr="00D643AA" w:rsidRDefault="00D643AA" w:rsidP="00D643AA">
            <w:pPr>
              <w:rPr>
                <w:rFonts w:ascii="Arial Narrow" w:hAnsi="Arial Narrow" w:cs="Arial"/>
                <w:b/>
                <w:bCs/>
                <w:sz w:val="20"/>
                <w:szCs w:val="20"/>
              </w:rPr>
            </w:pPr>
          </w:p>
        </w:tc>
        <w:tc>
          <w:tcPr>
            <w:tcW w:w="667" w:type="pct"/>
            <w:tcBorders>
              <w:top w:val="nil"/>
              <w:left w:val="nil"/>
              <w:bottom w:val="single" w:sz="4" w:space="0" w:color="auto"/>
              <w:right w:val="single" w:sz="4" w:space="0" w:color="auto"/>
            </w:tcBorders>
            <w:shd w:val="clear" w:color="auto" w:fill="17365D" w:themeFill="text2" w:themeFillShade="BF"/>
            <w:vAlign w:val="center"/>
            <w:hideMark/>
          </w:tcPr>
          <w:p w14:paraId="763F757C" w14:textId="2C69C790" w:rsidR="00D643AA" w:rsidRPr="00D643AA" w:rsidRDefault="00D643AA" w:rsidP="00D643AA">
            <w:pPr>
              <w:jc w:val="center"/>
              <w:rPr>
                <w:rFonts w:ascii="Arial Narrow" w:hAnsi="Arial Narrow" w:cs="Arial"/>
                <w:b/>
                <w:bCs/>
                <w:sz w:val="20"/>
                <w:szCs w:val="20"/>
              </w:rPr>
            </w:pPr>
            <w:r w:rsidRPr="00D643AA">
              <w:rPr>
                <w:rFonts w:ascii="Arial Narrow" w:hAnsi="Arial Narrow" w:cs="Arial"/>
                <w:b/>
                <w:bCs/>
                <w:sz w:val="20"/>
                <w:szCs w:val="20"/>
              </w:rPr>
              <w:t xml:space="preserve"> M</w:t>
            </w:r>
            <w:r>
              <w:rPr>
                <w:rFonts w:ascii="Arial Narrow" w:hAnsi="Arial Narrow" w:cs="Arial"/>
                <w:b/>
                <w:bCs/>
                <w:sz w:val="20"/>
                <w:szCs w:val="20"/>
              </w:rPr>
              <w:t>enor o Igual</w:t>
            </w:r>
            <w:r w:rsidRPr="00D643AA">
              <w:rPr>
                <w:rFonts w:ascii="Arial Narrow" w:hAnsi="Arial Narrow" w:cs="Arial"/>
                <w:b/>
                <w:bCs/>
                <w:sz w:val="20"/>
                <w:szCs w:val="20"/>
              </w:rPr>
              <w:t xml:space="preserve"> </w:t>
            </w:r>
            <w:r>
              <w:rPr>
                <w:rFonts w:ascii="Arial Narrow" w:hAnsi="Arial Narrow" w:cs="Arial"/>
                <w:b/>
                <w:bCs/>
                <w:sz w:val="20"/>
                <w:szCs w:val="20"/>
              </w:rPr>
              <w:t>a</w:t>
            </w:r>
            <w:r w:rsidRPr="00D643AA">
              <w:rPr>
                <w:rFonts w:ascii="Arial Narrow" w:hAnsi="Arial Narrow" w:cs="Arial"/>
                <w:b/>
                <w:bCs/>
                <w:sz w:val="20"/>
                <w:szCs w:val="20"/>
              </w:rPr>
              <w:t xml:space="preserve"> 90 </w:t>
            </w:r>
          </w:p>
        </w:tc>
        <w:tc>
          <w:tcPr>
            <w:tcW w:w="667" w:type="pct"/>
            <w:tcBorders>
              <w:top w:val="nil"/>
              <w:left w:val="nil"/>
              <w:bottom w:val="single" w:sz="4" w:space="0" w:color="auto"/>
              <w:right w:val="single" w:sz="4" w:space="0" w:color="auto"/>
            </w:tcBorders>
            <w:shd w:val="clear" w:color="auto" w:fill="17365D" w:themeFill="text2" w:themeFillShade="BF"/>
            <w:vAlign w:val="center"/>
            <w:hideMark/>
          </w:tcPr>
          <w:p w14:paraId="7B8B0144" w14:textId="71EBF50B" w:rsidR="00D643AA" w:rsidRPr="00D643AA" w:rsidRDefault="00D643AA" w:rsidP="00D643AA">
            <w:pPr>
              <w:jc w:val="center"/>
              <w:rPr>
                <w:rFonts w:ascii="Arial Narrow" w:hAnsi="Arial Narrow" w:cs="Arial"/>
                <w:b/>
                <w:bCs/>
                <w:sz w:val="20"/>
                <w:szCs w:val="20"/>
              </w:rPr>
            </w:pPr>
            <w:r w:rsidRPr="00D643AA">
              <w:rPr>
                <w:rFonts w:ascii="Arial Narrow" w:hAnsi="Arial Narrow" w:cs="Arial"/>
                <w:b/>
                <w:bCs/>
                <w:sz w:val="20"/>
                <w:szCs w:val="20"/>
              </w:rPr>
              <w:t xml:space="preserve"> </w:t>
            </w:r>
            <w:r>
              <w:rPr>
                <w:rFonts w:ascii="Arial Narrow" w:hAnsi="Arial Narrow" w:cs="Arial"/>
                <w:b/>
                <w:bCs/>
                <w:sz w:val="20"/>
                <w:szCs w:val="20"/>
              </w:rPr>
              <w:t>De</w:t>
            </w:r>
            <w:r w:rsidRPr="00D643AA">
              <w:rPr>
                <w:rFonts w:ascii="Arial Narrow" w:hAnsi="Arial Narrow" w:cs="Arial"/>
                <w:b/>
                <w:bCs/>
                <w:sz w:val="20"/>
                <w:szCs w:val="20"/>
              </w:rPr>
              <w:t xml:space="preserve"> 90 </w:t>
            </w:r>
            <w:r>
              <w:rPr>
                <w:rFonts w:ascii="Arial Narrow" w:hAnsi="Arial Narrow" w:cs="Arial"/>
                <w:b/>
                <w:bCs/>
                <w:sz w:val="20"/>
                <w:szCs w:val="20"/>
              </w:rPr>
              <w:t>a</w:t>
            </w:r>
            <w:r w:rsidRPr="00D643AA">
              <w:rPr>
                <w:rFonts w:ascii="Arial Narrow" w:hAnsi="Arial Narrow" w:cs="Arial"/>
                <w:b/>
                <w:bCs/>
                <w:sz w:val="20"/>
                <w:szCs w:val="20"/>
              </w:rPr>
              <w:t xml:space="preserve"> 180  </w:t>
            </w:r>
          </w:p>
        </w:tc>
        <w:tc>
          <w:tcPr>
            <w:tcW w:w="643" w:type="pct"/>
            <w:tcBorders>
              <w:top w:val="nil"/>
              <w:left w:val="nil"/>
              <w:bottom w:val="single" w:sz="4" w:space="0" w:color="auto"/>
              <w:right w:val="single" w:sz="4" w:space="0" w:color="auto"/>
            </w:tcBorders>
            <w:shd w:val="clear" w:color="auto" w:fill="17365D" w:themeFill="text2" w:themeFillShade="BF"/>
            <w:vAlign w:val="center"/>
            <w:hideMark/>
          </w:tcPr>
          <w:p w14:paraId="1EBC8B36" w14:textId="0BBC5209" w:rsidR="00D643AA" w:rsidRPr="00D643AA" w:rsidRDefault="00D643AA" w:rsidP="00D643AA">
            <w:pPr>
              <w:jc w:val="center"/>
              <w:rPr>
                <w:rFonts w:ascii="Arial Narrow" w:hAnsi="Arial Narrow" w:cs="Arial"/>
                <w:b/>
                <w:bCs/>
                <w:sz w:val="20"/>
                <w:szCs w:val="20"/>
              </w:rPr>
            </w:pPr>
            <w:r w:rsidRPr="00D643AA">
              <w:rPr>
                <w:rFonts w:ascii="Arial Narrow" w:hAnsi="Arial Narrow" w:cs="Arial"/>
                <w:b/>
                <w:bCs/>
                <w:sz w:val="20"/>
                <w:szCs w:val="20"/>
              </w:rPr>
              <w:t xml:space="preserve"> </w:t>
            </w:r>
            <w:r>
              <w:rPr>
                <w:rFonts w:ascii="Arial Narrow" w:hAnsi="Arial Narrow" w:cs="Arial"/>
                <w:b/>
                <w:bCs/>
                <w:sz w:val="20"/>
                <w:szCs w:val="20"/>
              </w:rPr>
              <w:t>De</w:t>
            </w:r>
            <w:r w:rsidRPr="00D643AA">
              <w:rPr>
                <w:rFonts w:ascii="Arial Narrow" w:hAnsi="Arial Narrow" w:cs="Arial"/>
                <w:b/>
                <w:bCs/>
                <w:sz w:val="20"/>
                <w:szCs w:val="20"/>
              </w:rPr>
              <w:t xml:space="preserve"> 181 </w:t>
            </w:r>
            <w:r>
              <w:rPr>
                <w:rFonts w:ascii="Arial Narrow" w:hAnsi="Arial Narrow" w:cs="Arial"/>
                <w:b/>
                <w:bCs/>
                <w:sz w:val="20"/>
                <w:szCs w:val="20"/>
              </w:rPr>
              <w:t>a</w:t>
            </w:r>
            <w:r w:rsidRPr="00D643AA">
              <w:rPr>
                <w:rFonts w:ascii="Arial Narrow" w:hAnsi="Arial Narrow" w:cs="Arial"/>
                <w:b/>
                <w:bCs/>
                <w:sz w:val="20"/>
                <w:szCs w:val="20"/>
              </w:rPr>
              <w:t xml:space="preserve"> 365 </w:t>
            </w:r>
          </w:p>
        </w:tc>
        <w:tc>
          <w:tcPr>
            <w:tcW w:w="694" w:type="pct"/>
            <w:tcBorders>
              <w:top w:val="nil"/>
              <w:left w:val="nil"/>
              <w:bottom w:val="single" w:sz="4" w:space="0" w:color="auto"/>
              <w:right w:val="single" w:sz="4" w:space="0" w:color="auto"/>
            </w:tcBorders>
            <w:shd w:val="clear" w:color="auto" w:fill="17365D" w:themeFill="text2" w:themeFillShade="BF"/>
            <w:vAlign w:val="center"/>
            <w:hideMark/>
          </w:tcPr>
          <w:p w14:paraId="423553AF" w14:textId="1DAD2ACF" w:rsidR="00D643AA" w:rsidRPr="00D643AA" w:rsidRDefault="00D643AA" w:rsidP="00D643AA">
            <w:pPr>
              <w:jc w:val="center"/>
              <w:rPr>
                <w:rFonts w:ascii="Arial Narrow" w:hAnsi="Arial Narrow" w:cs="Arial"/>
                <w:b/>
                <w:bCs/>
                <w:sz w:val="20"/>
                <w:szCs w:val="20"/>
              </w:rPr>
            </w:pPr>
            <w:r w:rsidRPr="00D643AA">
              <w:rPr>
                <w:rFonts w:ascii="Arial Narrow" w:hAnsi="Arial Narrow" w:cs="Arial"/>
                <w:b/>
                <w:bCs/>
                <w:sz w:val="20"/>
                <w:szCs w:val="20"/>
              </w:rPr>
              <w:t xml:space="preserve"> M</w:t>
            </w:r>
            <w:r>
              <w:rPr>
                <w:rFonts w:ascii="Arial Narrow" w:hAnsi="Arial Narrow" w:cs="Arial"/>
                <w:b/>
                <w:bCs/>
                <w:sz w:val="20"/>
                <w:szCs w:val="20"/>
              </w:rPr>
              <w:t>ayor a</w:t>
            </w:r>
            <w:r w:rsidRPr="00D643AA">
              <w:rPr>
                <w:rFonts w:ascii="Arial Narrow" w:hAnsi="Arial Narrow" w:cs="Arial"/>
                <w:b/>
                <w:bCs/>
                <w:sz w:val="20"/>
                <w:szCs w:val="20"/>
              </w:rPr>
              <w:t xml:space="preserve"> 365 </w:t>
            </w:r>
          </w:p>
        </w:tc>
      </w:tr>
      <w:tr w:rsidR="00D643AA" w:rsidRPr="00D643AA" w14:paraId="3D6D374B" w14:textId="77777777" w:rsidTr="00D643AA">
        <w:trPr>
          <w:trHeight w:val="382"/>
        </w:trPr>
        <w:tc>
          <w:tcPr>
            <w:tcW w:w="1583" w:type="pct"/>
            <w:tcBorders>
              <w:top w:val="nil"/>
              <w:left w:val="single" w:sz="4" w:space="0" w:color="auto"/>
              <w:bottom w:val="single" w:sz="4" w:space="0" w:color="auto"/>
              <w:right w:val="single" w:sz="4" w:space="0" w:color="auto"/>
            </w:tcBorders>
            <w:shd w:val="clear" w:color="000000" w:fill="FFFFFF"/>
            <w:noWrap/>
            <w:vAlign w:val="center"/>
            <w:hideMark/>
          </w:tcPr>
          <w:p w14:paraId="0C7C63BA" w14:textId="351CC78B" w:rsidR="00D643AA" w:rsidRPr="00D643AA" w:rsidRDefault="00D643AA" w:rsidP="00D643AA">
            <w:pPr>
              <w:rPr>
                <w:rFonts w:ascii="Arial" w:hAnsi="Arial" w:cs="Arial"/>
                <w:sz w:val="16"/>
                <w:szCs w:val="16"/>
              </w:rPr>
            </w:pPr>
            <w:r w:rsidRPr="00D643AA">
              <w:rPr>
                <w:rFonts w:ascii="Arial" w:hAnsi="Arial" w:cs="Arial"/>
                <w:sz w:val="16"/>
                <w:szCs w:val="16"/>
              </w:rPr>
              <w:t xml:space="preserve">Gastos </w:t>
            </w:r>
            <w:r>
              <w:rPr>
                <w:rFonts w:ascii="Arial" w:hAnsi="Arial" w:cs="Arial"/>
                <w:sz w:val="16"/>
                <w:szCs w:val="16"/>
              </w:rPr>
              <w:t>a</w:t>
            </w:r>
            <w:r w:rsidRPr="00D643AA">
              <w:rPr>
                <w:rFonts w:ascii="Arial" w:hAnsi="Arial" w:cs="Arial"/>
                <w:sz w:val="16"/>
                <w:szCs w:val="16"/>
              </w:rPr>
              <w:t xml:space="preserve"> Comprobar </w:t>
            </w:r>
            <w:r>
              <w:rPr>
                <w:rFonts w:ascii="Arial" w:hAnsi="Arial" w:cs="Arial"/>
                <w:sz w:val="16"/>
                <w:szCs w:val="16"/>
              </w:rPr>
              <w:t>a</w:t>
            </w:r>
            <w:r w:rsidRPr="00D643AA">
              <w:rPr>
                <w:rFonts w:ascii="Arial" w:hAnsi="Arial" w:cs="Arial"/>
                <w:sz w:val="16"/>
                <w:szCs w:val="16"/>
              </w:rPr>
              <w:t xml:space="preserve"> C/P</w:t>
            </w:r>
          </w:p>
        </w:tc>
        <w:tc>
          <w:tcPr>
            <w:tcW w:w="745" w:type="pct"/>
            <w:tcBorders>
              <w:top w:val="nil"/>
              <w:left w:val="nil"/>
              <w:bottom w:val="single" w:sz="4" w:space="0" w:color="auto"/>
              <w:right w:val="single" w:sz="4" w:space="0" w:color="auto"/>
            </w:tcBorders>
            <w:shd w:val="clear" w:color="000000" w:fill="FFFFFF"/>
            <w:noWrap/>
            <w:vAlign w:val="bottom"/>
            <w:hideMark/>
          </w:tcPr>
          <w:p w14:paraId="1B0A8807"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687,491</w:t>
            </w:r>
          </w:p>
        </w:tc>
        <w:tc>
          <w:tcPr>
            <w:tcW w:w="667" w:type="pct"/>
            <w:tcBorders>
              <w:top w:val="nil"/>
              <w:left w:val="nil"/>
              <w:bottom w:val="single" w:sz="4" w:space="0" w:color="auto"/>
              <w:right w:val="single" w:sz="4" w:space="0" w:color="auto"/>
            </w:tcBorders>
            <w:shd w:val="clear" w:color="000000" w:fill="FFFFFF"/>
            <w:noWrap/>
            <w:vAlign w:val="bottom"/>
            <w:hideMark/>
          </w:tcPr>
          <w:p w14:paraId="7E112385"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357,677</w:t>
            </w:r>
          </w:p>
        </w:tc>
        <w:tc>
          <w:tcPr>
            <w:tcW w:w="667" w:type="pct"/>
            <w:tcBorders>
              <w:top w:val="nil"/>
              <w:left w:val="nil"/>
              <w:bottom w:val="single" w:sz="4" w:space="0" w:color="auto"/>
              <w:right w:val="single" w:sz="4" w:space="0" w:color="auto"/>
            </w:tcBorders>
            <w:shd w:val="clear" w:color="000000" w:fill="FFFFFF"/>
            <w:noWrap/>
            <w:vAlign w:val="bottom"/>
            <w:hideMark/>
          </w:tcPr>
          <w:p w14:paraId="728CA13F"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217,016</w:t>
            </w:r>
          </w:p>
        </w:tc>
        <w:tc>
          <w:tcPr>
            <w:tcW w:w="643" w:type="pct"/>
            <w:tcBorders>
              <w:top w:val="nil"/>
              <w:left w:val="nil"/>
              <w:bottom w:val="single" w:sz="4" w:space="0" w:color="auto"/>
              <w:right w:val="single" w:sz="4" w:space="0" w:color="auto"/>
            </w:tcBorders>
            <w:shd w:val="clear" w:color="000000" w:fill="FFFFFF"/>
            <w:noWrap/>
            <w:vAlign w:val="bottom"/>
            <w:hideMark/>
          </w:tcPr>
          <w:p w14:paraId="1812D883"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25,250</w:t>
            </w:r>
          </w:p>
        </w:tc>
        <w:tc>
          <w:tcPr>
            <w:tcW w:w="694" w:type="pct"/>
            <w:tcBorders>
              <w:top w:val="nil"/>
              <w:left w:val="nil"/>
              <w:bottom w:val="single" w:sz="4" w:space="0" w:color="auto"/>
              <w:right w:val="single" w:sz="4" w:space="0" w:color="auto"/>
            </w:tcBorders>
            <w:shd w:val="clear" w:color="000000" w:fill="FFFFFF"/>
            <w:noWrap/>
            <w:vAlign w:val="bottom"/>
            <w:hideMark/>
          </w:tcPr>
          <w:p w14:paraId="2608DF5A"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87,548</w:t>
            </w:r>
          </w:p>
        </w:tc>
      </w:tr>
      <w:tr w:rsidR="00D643AA" w:rsidRPr="00D643AA" w14:paraId="590E1AC9" w14:textId="77777777" w:rsidTr="00D643AA">
        <w:trPr>
          <w:trHeight w:val="382"/>
        </w:trPr>
        <w:tc>
          <w:tcPr>
            <w:tcW w:w="1583" w:type="pct"/>
            <w:tcBorders>
              <w:top w:val="nil"/>
              <w:left w:val="single" w:sz="4" w:space="0" w:color="auto"/>
              <w:bottom w:val="single" w:sz="4" w:space="0" w:color="auto"/>
              <w:right w:val="single" w:sz="4" w:space="0" w:color="auto"/>
            </w:tcBorders>
            <w:shd w:val="clear" w:color="000000" w:fill="FFFFFF"/>
            <w:vAlign w:val="center"/>
            <w:hideMark/>
          </w:tcPr>
          <w:p w14:paraId="21EF098C" w14:textId="63061A65" w:rsidR="00D643AA" w:rsidRPr="00D643AA" w:rsidRDefault="00D643AA" w:rsidP="00D643AA">
            <w:pPr>
              <w:rPr>
                <w:rFonts w:ascii="Arial" w:hAnsi="Arial" w:cs="Arial"/>
                <w:sz w:val="16"/>
                <w:szCs w:val="16"/>
              </w:rPr>
            </w:pPr>
            <w:r w:rsidRPr="00D643AA">
              <w:rPr>
                <w:rFonts w:ascii="Arial" w:hAnsi="Arial" w:cs="Arial"/>
                <w:sz w:val="16"/>
                <w:szCs w:val="16"/>
              </w:rPr>
              <w:t>Recursos Monetarios Sustraídos</w:t>
            </w:r>
          </w:p>
        </w:tc>
        <w:tc>
          <w:tcPr>
            <w:tcW w:w="745" w:type="pct"/>
            <w:tcBorders>
              <w:top w:val="nil"/>
              <w:left w:val="nil"/>
              <w:bottom w:val="single" w:sz="4" w:space="0" w:color="auto"/>
              <w:right w:val="single" w:sz="4" w:space="0" w:color="auto"/>
            </w:tcBorders>
            <w:shd w:val="clear" w:color="auto" w:fill="auto"/>
            <w:noWrap/>
            <w:vAlign w:val="center"/>
            <w:hideMark/>
          </w:tcPr>
          <w:p w14:paraId="6A4DF668"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1,096</w:t>
            </w:r>
          </w:p>
        </w:tc>
        <w:tc>
          <w:tcPr>
            <w:tcW w:w="667" w:type="pct"/>
            <w:tcBorders>
              <w:top w:val="nil"/>
              <w:left w:val="nil"/>
              <w:bottom w:val="single" w:sz="4" w:space="0" w:color="auto"/>
              <w:right w:val="single" w:sz="4" w:space="0" w:color="auto"/>
            </w:tcBorders>
            <w:shd w:val="clear" w:color="auto" w:fill="auto"/>
            <w:noWrap/>
            <w:vAlign w:val="center"/>
            <w:hideMark/>
          </w:tcPr>
          <w:p w14:paraId="4BF2D69C"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67" w:type="pct"/>
            <w:tcBorders>
              <w:top w:val="nil"/>
              <w:left w:val="nil"/>
              <w:bottom w:val="single" w:sz="4" w:space="0" w:color="auto"/>
              <w:right w:val="single" w:sz="4" w:space="0" w:color="auto"/>
            </w:tcBorders>
            <w:shd w:val="clear" w:color="auto" w:fill="auto"/>
            <w:noWrap/>
            <w:vAlign w:val="center"/>
            <w:hideMark/>
          </w:tcPr>
          <w:p w14:paraId="3E200EEA"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43" w:type="pct"/>
            <w:tcBorders>
              <w:top w:val="nil"/>
              <w:left w:val="nil"/>
              <w:bottom w:val="single" w:sz="4" w:space="0" w:color="auto"/>
              <w:right w:val="single" w:sz="4" w:space="0" w:color="auto"/>
            </w:tcBorders>
            <w:shd w:val="clear" w:color="auto" w:fill="auto"/>
            <w:noWrap/>
            <w:vAlign w:val="center"/>
            <w:hideMark/>
          </w:tcPr>
          <w:p w14:paraId="6EE90497"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94" w:type="pct"/>
            <w:tcBorders>
              <w:top w:val="nil"/>
              <w:left w:val="nil"/>
              <w:bottom w:val="single" w:sz="4" w:space="0" w:color="auto"/>
              <w:right w:val="single" w:sz="4" w:space="0" w:color="auto"/>
            </w:tcBorders>
            <w:shd w:val="clear" w:color="auto" w:fill="auto"/>
            <w:noWrap/>
            <w:vAlign w:val="center"/>
            <w:hideMark/>
          </w:tcPr>
          <w:p w14:paraId="7C621009"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1,096</w:t>
            </w:r>
          </w:p>
        </w:tc>
      </w:tr>
      <w:tr w:rsidR="00D643AA" w:rsidRPr="00D643AA" w14:paraId="277A468F" w14:textId="77777777" w:rsidTr="00D643AA">
        <w:trPr>
          <w:trHeight w:val="382"/>
        </w:trPr>
        <w:tc>
          <w:tcPr>
            <w:tcW w:w="1583" w:type="pct"/>
            <w:tcBorders>
              <w:top w:val="nil"/>
              <w:left w:val="single" w:sz="4" w:space="0" w:color="auto"/>
              <w:bottom w:val="single" w:sz="4" w:space="0" w:color="auto"/>
              <w:right w:val="single" w:sz="4" w:space="0" w:color="auto"/>
            </w:tcBorders>
            <w:shd w:val="clear" w:color="000000" w:fill="FFFFFF"/>
            <w:noWrap/>
            <w:vAlign w:val="center"/>
            <w:hideMark/>
          </w:tcPr>
          <w:p w14:paraId="0D26720E" w14:textId="684DFED1" w:rsidR="00D643AA" w:rsidRPr="00D643AA" w:rsidRDefault="00D643AA" w:rsidP="00D643AA">
            <w:pPr>
              <w:rPr>
                <w:rFonts w:ascii="Arial" w:hAnsi="Arial" w:cs="Arial"/>
                <w:sz w:val="16"/>
                <w:szCs w:val="16"/>
              </w:rPr>
            </w:pPr>
            <w:r w:rsidRPr="00D643AA">
              <w:rPr>
                <w:rFonts w:ascii="Arial" w:hAnsi="Arial" w:cs="Arial"/>
                <w:sz w:val="16"/>
                <w:szCs w:val="16"/>
              </w:rPr>
              <w:t xml:space="preserve">Préstamos </w:t>
            </w:r>
            <w:proofErr w:type="spellStart"/>
            <w:r w:rsidRPr="00D643AA">
              <w:rPr>
                <w:rFonts w:ascii="Arial" w:hAnsi="Arial" w:cs="Arial"/>
                <w:sz w:val="16"/>
                <w:szCs w:val="16"/>
              </w:rPr>
              <w:t>Sefina</w:t>
            </w:r>
            <w:proofErr w:type="spellEnd"/>
          </w:p>
        </w:tc>
        <w:tc>
          <w:tcPr>
            <w:tcW w:w="745" w:type="pct"/>
            <w:tcBorders>
              <w:top w:val="nil"/>
              <w:left w:val="nil"/>
              <w:bottom w:val="single" w:sz="4" w:space="0" w:color="auto"/>
              <w:right w:val="single" w:sz="4" w:space="0" w:color="auto"/>
            </w:tcBorders>
            <w:shd w:val="clear" w:color="auto" w:fill="auto"/>
            <w:noWrap/>
            <w:vAlign w:val="center"/>
            <w:hideMark/>
          </w:tcPr>
          <w:p w14:paraId="16F23F2E"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3,209</w:t>
            </w:r>
          </w:p>
        </w:tc>
        <w:tc>
          <w:tcPr>
            <w:tcW w:w="667" w:type="pct"/>
            <w:tcBorders>
              <w:top w:val="nil"/>
              <w:left w:val="nil"/>
              <w:bottom w:val="single" w:sz="4" w:space="0" w:color="auto"/>
              <w:right w:val="single" w:sz="4" w:space="0" w:color="auto"/>
            </w:tcBorders>
            <w:shd w:val="clear" w:color="auto" w:fill="auto"/>
            <w:noWrap/>
            <w:vAlign w:val="center"/>
            <w:hideMark/>
          </w:tcPr>
          <w:p w14:paraId="666E951C"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506</w:t>
            </w:r>
          </w:p>
        </w:tc>
        <w:tc>
          <w:tcPr>
            <w:tcW w:w="667" w:type="pct"/>
            <w:tcBorders>
              <w:top w:val="nil"/>
              <w:left w:val="nil"/>
              <w:bottom w:val="single" w:sz="4" w:space="0" w:color="auto"/>
              <w:right w:val="single" w:sz="4" w:space="0" w:color="auto"/>
            </w:tcBorders>
            <w:shd w:val="clear" w:color="auto" w:fill="auto"/>
            <w:noWrap/>
            <w:vAlign w:val="center"/>
            <w:hideMark/>
          </w:tcPr>
          <w:p w14:paraId="3B5B455D"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262</w:t>
            </w:r>
          </w:p>
        </w:tc>
        <w:tc>
          <w:tcPr>
            <w:tcW w:w="643" w:type="pct"/>
            <w:tcBorders>
              <w:top w:val="nil"/>
              <w:left w:val="nil"/>
              <w:bottom w:val="single" w:sz="4" w:space="0" w:color="auto"/>
              <w:right w:val="single" w:sz="4" w:space="0" w:color="auto"/>
            </w:tcBorders>
            <w:shd w:val="clear" w:color="auto" w:fill="auto"/>
            <w:noWrap/>
            <w:vAlign w:val="center"/>
            <w:hideMark/>
          </w:tcPr>
          <w:p w14:paraId="3780D3BB"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207</w:t>
            </w:r>
          </w:p>
        </w:tc>
        <w:tc>
          <w:tcPr>
            <w:tcW w:w="694" w:type="pct"/>
            <w:tcBorders>
              <w:top w:val="nil"/>
              <w:left w:val="nil"/>
              <w:bottom w:val="single" w:sz="4" w:space="0" w:color="auto"/>
              <w:right w:val="single" w:sz="4" w:space="0" w:color="auto"/>
            </w:tcBorders>
            <w:shd w:val="clear" w:color="auto" w:fill="auto"/>
            <w:noWrap/>
            <w:vAlign w:val="center"/>
            <w:hideMark/>
          </w:tcPr>
          <w:p w14:paraId="644789B1"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2,234</w:t>
            </w:r>
          </w:p>
        </w:tc>
      </w:tr>
      <w:tr w:rsidR="00D643AA" w:rsidRPr="00D643AA" w14:paraId="63BA9910" w14:textId="77777777" w:rsidTr="00D643AA">
        <w:trPr>
          <w:trHeight w:val="382"/>
        </w:trPr>
        <w:tc>
          <w:tcPr>
            <w:tcW w:w="1583" w:type="pct"/>
            <w:tcBorders>
              <w:top w:val="nil"/>
              <w:left w:val="single" w:sz="4" w:space="0" w:color="auto"/>
              <w:bottom w:val="nil"/>
              <w:right w:val="single" w:sz="4" w:space="0" w:color="auto"/>
            </w:tcBorders>
            <w:shd w:val="clear" w:color="000000" w:fill="FFFFFF"/>
            <w:vAlign w:val="center"/>
            <w:hideMark/>
          </w:tcPr>
          <w:p w14:paraId="18F1AE13" w14:textId="433FE29D" w:rsidR="00D643AA" w:rsidRPr="00D643AA" w:rsidRDefault="00D643AA" w:rsidP="00D643AA">
            <w:pPr>
              <w:rPr>
                <w:rFonts w:ascii="Arial" w:hAnsi="Arial" w:cs="Arial"/>
                <w:sz w:val="16"/>
                <w:szCs w:val="16"/>
              </w:rPr>
            </w:pPr>
            <w:r w:rsidRPr="00D643AA">
              <w:rPr>
                <w:rFonts w:ascii="Arial" w:hAnsi="Arial" w:cs="Arial"/>
                <w:sz w:val="16"/>
                <w:szCs w:val="16"/>
              </w:rPr>
              <w:t xml:space="preserve">Por Créditos Puente </w:t>
            </w:r>
            <w:r>
              <w:rPr>
                <w:rFonts w:ascii="Arial" w:hAnsi="Arial" w:cs="Arial"/>
                <w:sz w:val="16"/>
                <w:szCs w:val="16"/>
              </w:rPr>
              <w:t>y</w:t>
            </w:r>
            <w:r w:rsidRPr="00D643AA">
              <w:rPr>
                <w:rFonts w:ascii="Arial" w:hAnsi="Arial" w:cs="Arial"/>
                <w:sz w:val="16"/>
                <w:szCs w:val="16"/>
              </w:rPr>
              <w:t xml:space="preserve"> Otros Equivalentes</w:t>
            </w:r>
          </w:p>
        </w:tc>
        <w:tc>
          <w:tcPr>
            <w:tcW w:w="745" w:type="pct"/>
            <w:tcBorders>
              <w:top w:val="nil"/>
              <w:left w:val="nil"/>
              <w:bottom w:val="single" w:sz="4" w:space="0" w:color="auto"/>
              <w:right w:val="single" w:sz="4" w:space="0" w:color="auto"/>
            </w:tcBorders>
            <w:shd w:val="clear" w:color="000000" w:fill="FFFFFF"/>
            <w:noWrap/>
            <w:vAlign w:val="center"/>
            <w:hideMark/>
          </w:tcPr>
          <w:p w14:paraId="0AAFC561"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745,874</w:t>
            </w:r>
          </w:p>
        </w:tc>
        <w:tc>
          <w:tcPr>
            <w:tcW w:w="667" w:type="pct"/>
            <w:tcBorders>
              <w:top w:val="nil"/>
              <w:left w:val="nil"/>
              <w:bottom w:val="single" w:sz="4" w:space="0" w:color="auto"/>
              <w:right w:val="single" w:sz="4" w:space="0" w:color="auto"/>
            </w:tcBorders>
            <w:shd w:val="clear" w:color="000000" w:fill="FFFFFF"/>
            <w:noWrap/>
            <w:vAlign w:val="center"/>
            <w:hideMark/>
          </w:tcPr>
          <w:p w14:paraId="1433CFBD"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100,890</w:t>
            </w:r>
          </w:p>
        </w:tc>
        <w:tc>
          <w:tcPr>
            <w:tcW w:w="667" w:type="pct"/>
            <w:tcBorders>
              <w:top w:val="nil"/>
              <w:left w:val="nil"/>
              <w:bottom w:val="single" w:sz="4" w:space="0" w:color="auto"/>
              <w:right w:val="single" w:sz="4" w:space="0" w:color="auto"/>
            </w:tcBorders>
            <w:shd w:val="clear" w:color="000000" w:fill="FFFFFF"/>
            <w:noWrap/>
            <w:vAlign w:val="center"/>
            <w:hideMark/>
          </w:tcPr>
          <w:p w14:paraId="22B553AA"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62,700</w:t>
            </w:r>
          </w:p>
        </w:tc>
        <w:tc>
          <w:tcPr>
            <w:tcW w:w="643" w:type="pct"/>
            <w:tcBorders>
              <w:top w:val="nil"/>
              <w:left w:val="nil"/>
              <w:bottom w:val="single" w:sz="4" w:space="0" w:color="auto"/>
              <w:right w:val="single" w:sz="4" w:space="0" w:color="auto"/>
            </w:tcBorders>
            <w:shd w:val="clear" w:color="000000" w:fill="FFFFFF"/>
            <w:noWrap/>
            <w:vAlign w:val="center"/>
            <w:hideMark/>
          </w:tcPr>
          <w:p w14:paraId="2157579C"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194,844</w:t>
            </w:r>
          </w:p>
        </w:tc>
        <w:tc>
          <w:tcPr>
            <w:tcW w:w="694" w:type="pct"/>
            <w:tcBorders>
              <w:top w:val="nil"/>
              <w:left w:val="nil"/>
              <w:bottom w:val="single" w:sz="4" w:space="0" w:color="auto"/>
              <w:right w:val="single" w:sz="4" w:space="0" w:color="auto"/>
            </w:tcBorders>
            <w:shd w:val="clear" w:color="000000" w:fill="FFFFFF"/>
            <w:noWrap/>
            <w:vAlign w:val="center"/>
            <w:hideMark/>
          </w:tcPr>
          <w:p w14:paraId="2EC8ADA7"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387,440</w:t>
            </w:r>
          </w:p>
        </w:tc>
      </w:tr>
      <w:tr w:rsidR="00D643AA" w:rsidRPr="00D643AA" w14:paraId="484957A5" w14:textId="77777777" w:rsidTr="00D643AA">
        <w:trPr>
          <w:trHeight w:val="382"/>
        </w:trPr>
        <w:tc>
          <w:tcPr>
            <w:tcW w:w="1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D9E6" w14:textId="76DA3A4E" w:rsidR="00D643AA" w:rsidRPr="00D643AA" w:rsidRDefault="00D643AA" w:rsidP="00D643AA">
            <w:pPr>
              <w:rPr>
                <w:rFonts w:ascii="Arial" w:hAnsi="Arial" w:cs="Arial"/>
                <w:sz w:val="16"/>
                <w:szCs w:val="16"/>
              </w:rPr>
            </w:pPr>
            <w:r w:rsidRPr="00D643AA">
              <w:rPr>
                <w:rFonts w:ascii="Arial" w:hAnsi="Arial" w:cs="Arial"/>
                <w:sz w:val="16"/>
                <w:szCs w:val="16"/>
              </w:rPr>
              <w:t xml:space="preserve">Otras Equivalentes </w:t>
            </w:r>
            <w:r>
              <w:rPr>
                <w:rFonts w:ascii="Arial" w:hAnsi="Arial" w:cs="Arial"/>
                <w:sz w:val="16"/>
                <w:szCs w:val="16"/>
              </w:rPr>
              <w:t>a</w:t>
            </w:r>
            <w:r w:rsidRPr="00D643AA">
              <w:rPr>
                <w:rFonts w:ascii="Arial" w:hAnsi="Arial" w:cs="Arial"/>
                <w:sz w:val="16"/>
                <w:szCs w:val="16"/>
              </w:rPr>
              <w:t xml:space="preserve"> Crédito Puente</w:t>
            </w:r>
          </w:p>
        </w:tc>
        <w:tc>
          <w:tcPr>
            <w:tcW w:w="745" w:type="pct"/>
            <w:tcBorders>
              <w:top w:val="nil"/>
              <w:left w:val="nil"/>
              <w:bottom w:val="single" w:sz="4" w:space="0" w:color="auto"/>
              <w:right w:val="single" w:sz="4" w:space="0" w:color="auto"/>
            </w:tcBorders>
            <w:shd w:val="clear" w:color="auto" w:fill="auto"/>
            <w:noWrap/>
            <w:vAlign w:val="center"/>
            <w:hideMark/>
          </w:tcPr>
          <w:p w14:paraId="6B4A1349"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98,314</w:t>
            </w:r>
          </w:p>
        </w:tc>
        <w:tc>
          <w:tcPr>
            <w:tcW w:w="667" w:type="pct"/>
            <w:tcBorders>
              <w:top w:val="nil"/>
              <w:left w:val="nil"/>
              <w:bottom w:val="single" w:sz="4" w:space="0" w:color="auto"/>
              <w:right w:val="single" w:sz="4" w:space="0" w:color="auto"/>
            </w:tcBorders>
            <w:shd w:val="clear" w:color="auto" w:fill="auto"/>
            <w:noWrap/>
            <w:vAlign w:val="center"/>
            <w:hideMark/>
          </w:tcPr>
          <w:p w14:paraId="13D2C358"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67" w:type="pct"/>
            <w:tcBorders>
              <w:top w:val="nil"/>
              <w:left w:val="nil"/>
              <w:bottom w:val="single" w:sz="4" w:space="0" w:color="auto"/>
              <w:right w:val="single" w:sz="4" w:space="0" w:color="auto"/>
            </w:tcBorders>
            <w:shd w:val="clear" w:color="auto" w:fill="auto"/>
            <w:noWrap/>
            <w:vAlign w:val="center"/>
            <w:hideMark/>
          </w:tcPr>
          <w:p w14:paraId="179CC922"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43" w:type="pct"/>
            <w:tcBorders>
              <w:top w:val="nil"/>
              <w:left w:val="nil"/>
              <w:bottom w:val="single" w:sz="4" w:space="0" w:color="auto"/>
              <w:right w:val="single" w:sz="4" w:space="0" w:color="auto"/>
            </w:tcBorders>
            <w:shd w:val="clear" w:color="auto" w:fill="auto"/>
            <w:noWrap/>
            <w:vAlign w:val="center"/>
            <w:hideMark/>
          </w:tcPr>
          <w:p w14:paraId="74DCDFBC"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94" w:type="pct"/>
            <w:tcBorders>
              <w:top w:val="nil"/>
              <w:left w:val="nil"/>
              <w:bottom w:val="single" w:sz="4" w:space="0" w:color="auto"/>
              <w:right w:val="single" w:sz="4" w:space="0" w:color="auto"/>
            </w:tcBorders>
            <w:shd w:val="clear" w:color="auto" w:fill="auto"/>
            <w:noWrap/>
            <w:vAlign w:val="center"/>
            <w:hideMark/>
          </w:tcPr>
          <w:p w14:paraId="58802CF3"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98,314</w:t>
            </w:r>
          </w:p>
        </w:tc>
      </w:tr>
      <w:tr w:rsidR="00D643AA" w:rsidRPr="00D643AA" w14:paraId="50F5CBB8" w14:textId="77777777" w:rsidTr="00D643AA">
        <w:trPr>
          <w:trHeight w:val="382"/>
        </w:trPr>
        <w:tc>
          <w:tcPr>
            <w:tcW w:w="1583" w:type="pct"/>
            <w:tcBorders>
              <w:top w:val="nil"/>
              <w:left w:val="single" w:sz="4" w:space="0" w:color="auto"/>
              <w:bottom w:val="single" w:sz="4" w:space="0" w:color="auto"/>
              <w:right w:val="single" w:sz="4" w:space="0" w:color="auto"/>
            </w:tcBorders>
            <w:shd w:val="clear" w:color="000000" w:fill="FFFFFF"/>
            <w:noWrap/>
            <w:vAlign w:val="center"/>
            <w:hideMark/>
          </w:tcPr>
          <w:p w14:paraId="40B427F6" w14:textId="1B305DD5" w:rsidR="00D643AA" w:rsidRPr="00D643AA" w:rsidRDefault="00D643AA" w:rsidP="00D643AA">
            <w:pPr>
              <w:rPr>
                <w:rFonts w:ascii="Arial" w:hAnsi="Arial" w:cs="Arial"/>
                <w:sz w:val="16"/>
                <w:szCs w:val="16"/>
              </w:rPr>
            </w:pPr>
            <w:r w:rsidRPr="00D643AA">
              <w:rPr>
                <w:rFonts w:ascii="Arial" w:hAnsi="Arial" w:cs="Arial"/>
                <w:sz w:val="16"/>
                <w:szCs w:val="16"/>
              </w:rPr>
              <w:t xml:space="preserve">Cuentas </w:t>
            </w:r>
            <w:r>
              <w:rPr>
                <w:rFonts w:ascii="Arial" w:hAnsi="Arial" w:cs="Arial"/>
                <w:sz w:val="16"/>
                <w:szCs w:val="16"/>
              </w:rPr>
              <w:t>p</w:t>
            </w:r>
            <w:r w:rsidRPr="00D643AA">
              <w:rPr>
                <w:rFonts w:ascii="Arial" w:hAnsi="Arial" w:cs="Arial"/>
                <w:sz w:val="16"/>
                <w:szCs w:val="16"/>
              </w:rPr>
              <w:t>or Cobrar (Tesorería)</w:t>
            </w:r>
          </w:p>
        </w:tc>
        <w:tc>
          <w:tcPr>
            <w:tcW w:w="745" w:type="pct"/>
            <w:tcBorders>
              <w:top w:val="nil"/>
              <w:left w:val="nil"/>
              <w:bottom w:val="single" w:sz="4" w:space="0" w:color="auto"/>
              <w:right w:val="single" w:sz="4" w:space="0" w:color="auto"/>
            </w:tcBorders>
            <w:shd w:val="clear" w:color="auto" w:fill="auto"/>
            <w:noWrap/>
            <w:vAlign w:val="center"/>
            <w:hideMark/>
          </w:tcPr>
          <w:p w14:paraId="5A6DEC18"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18</w:t>
            </w:r>
          </w:p>
        </w:tc>
        <w:tc>
          <w:tcPr>
            <w:tcW w:w="667" w:type="pct"/>
            <w:tcBorders>
              <w:top w:val="nil"/>
              <w:left w:val="nil"/>
              <w:bottom w:val="single" w:sz="4" w:space="0" w:color="auto"/>
              <w:right w:val="single" w:sz="4" w:space="0" w:color="auto"/>
            </w:tcBorders>
            <w:shd w:val="clear" w:color="auto" w:fill="auto"/>
            <w:noWrap/>
            <w:vAlign w:val="center"/>
            <w:hideMark/>
          </w:tcPr>
          <w:p w14:paraId="46074BDB"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67" w:type="pct"/>
            <w:tcBorders>
              <w:top w:val="nil"/>
              <w:left w:val="nil"/>
              <w:bottom w:val="single" w:sz="4" w:space="0" w:color="auto"/>
              <w:right w:val="single" w:sz="4" w:space="0" w:color="auto"/>
            </w:tcBorders>
            <w:shd w:val="clear" w:color="auto" w:fill="auto"/>
            <w:noWrap/>
            <w:vAlign w:val="center"/>
            <w:hideMark/>
          </w:tcPr>
          <w:p w14:paraId="20F5E30F"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43" w:type="pct"/>
            <w:tcBorders>
              <w:top w:val="nil"/>
              <w:left w:val="nil"/>
              <w:bottom w:val="single" w:sz="4" w:space="0" w:color="auto"/>
              <w:right w:val="single" w:sz="4" w:space="0" w:color="auto"/>
            </w:tcBorders>
            <w:shd w:val="clear" w:color="auto" w:fill="auto"/>
            <w:noWrap/>
            <w:vAlign w:val="center"/>
            <w:hideMark/>
          </w:tcPr>
          <w:p w14:paraId="14146967" w14:textId="77777777" w:rsidR="00D643AA" w:rsidRPr="00D643AA" w:rsidRDefault="00D643AA" w:rsidP="00D643AA">
            <w:pPr>
              <w:rPr>
                <w:rFonts w:ascii="Arial" w:hAnsi="Arial" w:cs="Arial"/>
                <w:sz w:val="16"/>
                <w:szCs w:val="16"/>
              </w:rPr>
            </w:pPr>
            <w:r w:rsidRPr="00D643AA">
              <w:rPr>
                <w:rFonts w:ascii="Arial" w:hAnsi="Arial" w:cs="Arial"/>
                <w:sz w:val="16"/>
                <w:szCs w:val="16"/>
              </w:rPr>
              <w:t> </w:t>
            </w:r>
          </w:p>
        </w:tc>
        <w:tc>
          <w:tcPr>
            <w:tcW w:w="694" w:type="pct"/>
            <w:tcBorders>
              <w:top w:val="nil"/>
              <w:left w:val="nil"/>
              <w:bottom w:val="single" w:sz="4" w:space="0" w:color="auto"/>
              <w:right w:val="single" w:sz="4" w:space="0" w:color="auto"/>
            </w:tcBorders>
            <w:shd w:val="clear" w:color="auto" w:fill="auto"/>
            <w:noWrap/>
            <w:vAlign w:val="center"/>
            <w:hideMark/>
          </w:tcPr>
          <w:p w14:paraId="6E1C5BAC"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18</w:t>
            </w:r>
          </w:p>
        </w:tc>
      </w:tr>
      <w:tr w:rsidR="00D643AA" w:rsidRPr="00D643AA" w14:paraId="478BA7B3" w14:textId="77777777" w:rsidTr="00D643AA">
        <w:trPr>
          <w:trHeight w:val="382"/>
        </w:trPr>
        <w:tc>
          <w:tcPr>
            <w:tcW w:w="1583" w:type="pct"/>
            <w:tcBorders>
              <w:top w:val="nil"/>
              <w:left w:val="single" w:sz="4" w:space="0" w:color="auto"/>
              <w:bottom w:val="single" w:sz="4" w:space="0" w:color="auto"/>
              <w:right w:val="single" w:sz="4" w:space="0" w:color="auto"/>
            </w:tcBorders>
            <w:shd w:val="clear" w:color="000000" w:fill="FFFFFF"/>
            <w:vAlign w:val="center"/>
            <w:hideMark/>
          </w:tcPr>
          <w:p w14:paraId="009543F7" w14:textId="1091AF3B" w:rsidR="00D643AA" w:rsidRPr="00D643AA" w:rsidRDefault="00D643AA" w:rsidP="00D643AA">
            <w:pPr>
              <w:rPr>
                <w:rFonts w:ascii="Arial" w:hAnsi="Arial" w:cs="Arial"/>
                <w:sz w:val="16"/>
                <w:szCs w:val="16"/>
              </w:rPr>
            </w:pPr>
            <w:r w:rsidRPr="00D643AA">
              <w:rPr>
                <w:rFonts w:ascii="Arial" w:hAnsi="Arial" w:cs="Arial"/>
                <w:sz w:val="16"/>
                <w:szCs w:val="16"/>
              </w:rPr>
              <w:t xml:space="preserve">Anticipos </w:t>
            </w:r>
            <w:r>
              <w:rPr>
                <w:rFonts w:ascii="Arial" w:hAnsi="Arial" w:cs="Arial"/>
                <w:sz w:val="16"/>
                <w:szCs w:val="16"/>
              </w:rPr>
              <w:t>d</w:t>
            </w:r>
            <w:r w:rsidRPr="00D643AA">
              <w:rPr>
                <w:rFonts w:ascii="Arial" w:hAnsi="Arial" w:cs="Arial"/>
                <w:sz w:val="16"/>
                <w:szCs w:val="16"/>
              </w:rPr>
              <w:t xml:space="preserve">e </w:t>
            </w:r>
            <w:proofErr w:type="spellStart"/>
            <w:r w:rsidRPr="00D643AA">
              <w:rPr>
                <w:rFonts w:ascii="Arial" w:hAnsi="Arial" w:cs="Arial"/>
                <w:sz w:val="16"/>
                <w:szCs w:val="16"/>
              </w:rPr>
              <w:t>Part</w:t>
            </w:r>
            <w:proofErr w:type="spellEnd"/>
            <w:r w:rsidRPr="00D643AA">
              <w:rPr>
                <w:rFonts w:ascii="Arial" w:hAnsi="Arial" w:cs="Arial"/>
                <w:sz w:val="16"/>
                <w:szCs w:val="16"/>
              </w:rPr>
              <w:t xml:space="preserve">. Créditos </w:t>
            </w:r>
            <w:r>
              <w:rPr>
                <w:rFonts w:ascii="Arial" w:hAnsi="Arial" w:cs="Arial"/>
                <w:sz w:val="16"/>
                <w:szCs w:val="16"/>
              </w:rPr>
              <w:t>y</w:t>
            </w:r>
            <w:r w:rsidRPr="00D643AA">
              <w:rPr>
                <w:rFonts w:ascii="Arial" w:hAnsi="Arial" w:cs="Arial"/>
                <w:sz w:val="16"/>
                <w:szCs w:val="16"/>
              </w:rPr>
              <w:t xml:space="preserve"> Financiamientos</w:t>
            </w:r>
          </w:p>
        </w:tc>
        <w:tc>
          <w:tcPr>
            <w:tcW w:w="745" w:type="pct"/>
            <w:tcBorders>
              <w:top w:val="nil"/>
              <w:left w:val="nil"/>
              <w:bottom w:val="single" w:sz="4" w:space="0" w:color="auto"/>
              <w:right w:val="single" w:sz="4" w:space="0" w:color="auto"/>
            </w:tcBorders>
            <w:shd w:val="clear" w:color="auto" w:fill="auto"/>
            <w:noWrap/>
            <w:vAlign w:val="center"/>
            <w:hideMark/>
          </w:tcPr>
          <w:p w14:paraId="795D0057"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24,913</w:t>
            </w:r>
          </w:p>
        </w:tc>
        <w:tc>
          <w:tcPr>
            <w:tcW w:w="667" w:type="pct"/>
            <w:tcBorders>
              <w:top w:val="nil"/>
              <w:left w:val="nil"/>
              <w:bottom w:val="single" w:sz="4" w:space="0" w:color="auto"/>
              <w:right w:val="single" w:sz="4" w:space="0" w:color="auto"/>
            </w:tcBorders>
            <w:shd w:val="clear" w:color="auto" w:fill="auto"/>
            <w:noWrap/>
            <w:vAlign w:val="center"/>
            <w:hideMark/>
          </w:tcPr>
          <w:p w14:paraId="7FE310D9"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5,000</w:t>
            </w:r>
          </w:p>
        </w:tc>
        <w:tc>
          <w:tcPr>
            <w:tcW w:w="667" w:type="pct"/>
            <w:tcBorders>
              <w:top w:val="nil"/>
              <w:left w:val="nil"/>
              <w:bottom w:val="single" w:sz="4" w:space="0" w:color="auto"/>
              <w:right w:val="single" w:sz="4" w:space="0" w:color="auto"/>
            </w:tcBorders>
            <w:shd w:val="clear" w:color="auto" w:fill="auto"/>
            <w:noWrap/>
            <w:vAlign w:val="center"/>
            <w:hideMark/>
          </w:tcPr>
          <w:p w14:paraId="450A5B54"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0</w:t>
            </w:r>
          </w:p>
        </w:tc>
        <w:tc>
          <w:tcPr>
            <w:tcW w:w="643" w:type="pct"/>
            <w:tcBorders>
              <w:top w:val="nil"/>
              <w:left w:val="nil"/>
              <w:bottom w:val="single" w:sz="4" w:space="0" w:color="auto"/>
              <w:right w:val="single" w:sz="4" w:space="0" w:color="auto"/>
            </w:tcBorders>
            <w:shd w:val="clear" w:color="auto" w:fill="auto"/>
            <w:noWrap/>
            <w:vAlign w:val="center"/>
            <w:hideMark/>
          </w:tcPr>
          <w:p w14:paraId="395E8127"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15,232</w:t>
            </w:r>
          </w:p>
        </w:tc>
        <w:tc>
          <w:tcPr>
            <w:tcW w:w="694" w:type="pct"/>
            <w:tcBorders>
              <w:top w:val="nil"/>
              <w:left w:val="nil"/>
              <w:bottom w:val="single" w:sz="4" w:space="0" w:color="auto"/>
              <w:right w:val="single" w:sz="4" w:space="0" w:color="auto"/>
            </w:tcBorders>
            <w:shd w:val="clear" w:color="auto" w:fill="auto"/>
            <w:noWrap/>
            <w:vAlign w:val="center"/>
            <w:hideMark/>
          </w:tcPr>
          <w:p w14:paraId="798D94A0"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4,681</w:t>
            </w:r>
          </w:p>
        </w:tc>
      </w:tr>
      <w:tr w:rsidR="00D643AA" w:rsidRPr="00D643AA" w14:paraId="64B977AC" w14:textId="77777777" w:rsidTr="00D643AA">
        <w:trPr>
          <w:trHeight w:val="382"/>
        </w:trPr>
        <w:tc>
          <w:tcPr>
            <w:tcW w:w="1583" w:type="pct"/>
            <w:tcBorders>
              <w:top w:val="nil"/>
              <w:left w:val="single" w:sz="4" w:space="0" w:color="auto"/>
              <w:bottom w:val="single" w:sz="4" w:space="0" w:color="auto"/>
              <w:right w:val="single" w:sz="4" w:space="0" w:color="auto"/>
            </w:tcBorders>
            <w:shd w:val="clear" w:color="000000" w:fill="FFFFFF"/>
            <w:noWrap/>
            <w:vAlign w:val="center"/>
            <w:hideMark/>
          </w:tcPr>
          <w:p w14:paraId="53AD5551" w14:textId="48A3A7D4" w:rsidR="00D643AA" w:rsidRPr="00D643AA" w:rsidRDefault="00D643AA" w:rsidP="00D643AA">
            <w:pPr>
              <w:rPr>
                <w:rFonts w:ascii="Arial" w:hAnsi="Arial" w:cs="Arial"/>
                <w:sz w:val="16"/>
                <w:szCs w:val="16"/>
              </w:rPr>
            </w:pPr>
            <w:r w:rsidRPr="00D643AA">
              <w:rPr>
                <w:rFonts w:ascii="Arial" w:hAnsi="Arial" w:cs="Arial"/>
                <w:sz w:val="16"/>
                <w:szCs w:val="16"/>
              </w:rPr>
              <w:t>Inversión Estatal Directa</w:t>
            </w:r>
          </w:p>
        </w:tc>
        <w:tc>
          <w:tcPr>
            <w:tcW w:w="745" w:type="pct"/>
            <w:tcBorders>
              <w:top w:val="nil"/>
              <w:left w:val="nil"/>
              <w:bottom w:val="single" w:sz="4" w:space="0" w:color="auto"/>
              <w:right w:val="single" w:sz="4" w:space="0" w:color="auto"/>
            </w:tcBorders>
            <w:shd w:val="clear" w:color="auto" w:fill="auto"/>
            <w:noWrap/>
            <w:vAlign w:val="center"/>
            <w:hideMark/>
          </w:tcPr>
          <w:p w14:paraId="3BAEF5B8"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758,371</w:t>
            </w:r>
          </w:p>
        </w:tc>
        <w:tc>
          <w:tcPr>
            <w:tcW w:w="667" w:type="pct"/>
            <w:tcBorders>
              <w:top w:val="nil"/>
              <w:left w:val="nil"/>
              <w:bottom w:val="single" w:sz="4" w:space="0" w:color="auto"/>
              <w:right w:val="single" w:sz="4" w:space="0" w:color="auto"/>
            </w:tcBorders>
            <w:shd w:val="clear" w:color="auto" w:fill="auto"/>
            <w:noWrap/>
            <w:vAlign w:val="center"/>
            <w:hideMark/>
          </w:tcPr>
          <w:p w14:paraId="42155FE5"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282,989</w:t>
            </w:r>
          </w:p>
        </w:tc>
        <w:tc>
          <w:tcPr>
            <w:tcW w:w="667" w:type="pct"/>
            <w:tcBorders>
              <w:top w:val="nil"/>
              <w:left w:val="nil"/>
              <w:bottom w:val="single" w:sz="4" w:space="0" w:color="auto"/>
              <w:right w:val="single" w:sz="4" w:space="0" w:color="auto"/>
            </w:tcBorders>
            <w:shd w:val="clear" w:color="auto" w:fill="auto"/>
            <w:noWrap/>
            <w:vAlign w:val="center"/>
            <w:hideMark/>
          </w:tcPr>
          <w:p w14:paraId="490CBC0B"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179,649</w:t>
            </w:r>
          </w:p>
        </w:tc>
        <w:tc>
          <w:tcPr>
            <w:tcW w:w="643" w:type="pct"/>
            <w:tcBorders>
              <w:top w:val="nil"/>
              <w:left w:val="nil"/>
              <w:bottom w:val="single" w:sz="4" w:space="0" w:color="auto"/>
              <w:right w:val="single" w:sz="4" w:space="0" w:color="auto"/>
            </w:tcBorders>
            <w:shd w:val="clear" w:color="auto" w:fill="auto"/>
            <w:noWrap/>
            <w:vAlign w:val="center"/>
            <w:hideMark/>
          </w:tcPr>
          <w:p w14:paraId="0896C266"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57,784</w:t>
            </w:r>
          </w:p>
        </w:tc>
        <w:tc>
          <w:tcPr>
            <w:tcW w:w="694" w:type="pct"/>
            <w:tcBorders>
              <w:top w:val="nil"/>
              <w:left w:val="nil"/>
              <w:bottom w:val="single" w:sz="4" w:space="0" w:color="auto"/>
              <w:right w:val="single" w:sz="4" w:space="0" w:color="auto"/>
            </w:tcBorders>
            <w:shd w:val="clear" w:color="auto" w:fill="auto"/>
            <w:noWrap/>
            <w:vAlign w:val="center"/>
            <w:hideMark/>
          </w:tcPr>
          <w:p w14:paraId="1AAC72B6"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237,949</w:t>
            </w:r>
          </w:p>
        </w:tc>
      </w:tr>
      <w:tr w:rsidR="00D643AA" w:rsidRPr="00D643AA" w14:paraId="49BB44B3" w14:textId="77777777" w:rsidTr="00D643AA">
        <w:trPr>
          <w:trHeight w:val="382"/>
        </w:trPr>
        <w:tc>
          <w:tcPr>
            <w:tcW w:w="1583" w:type="pct"/>
            <w:tcBorders>
              <w:top w:val="nil"/>
              <w:left w:val="single" w:sz="4" w:space="0" w:color="auto"/>
              <w:bottom w:val="single" w:sz="4" w:space="0" w:color="auto"/>
              <w:right w:val="single" w:sz="4" w:space="0" w:color="auto"/>
            </w:tcBorders>
            <w:shd w:val="clear" w:color="000000" w:fill="FFFFFF"/>
            <w:noWrap/>
            <w:vAlign w:val="center"/>
            <w:hideMark/>
          </w:tcPr>
          <w:p w14:paraId="3A30ED3B" w14:textId="3472B3CD" w:rsidR="00D643AA" w:rsidRPr="00D643AA" w:rsidRDefault="00D643AA" w:rsidP="00D643AA">
            <w:pPr>
              <w:rPr>
                <w:rFonts w:ascii="Arial" w:hAnsi="Arial" w:cs="Arial"/>
                <w:sz w:val="16"/>
                <w:szCs w:val="16"/>
              </w:rPr>
            </w:pPr>
            <w:r w:rsidRPr="00D643AA">
              <w:rPr>
                <w:rFonts w:ascii="Arial" w:hAnsi="Arial" w:cs="Arial"/>
                <w:sz w:val="16"/>
                <w:szCs w:val="16"/>
              </w:rPr>
              <w:t>Recursos Federales</w:t>
            </w:r>
          </w:p>
        </w:tc>
        <w:tc>
          <w:tcPr>
            <w:tcW w:w="745" w:type="pct"/>
            <w:tcBorders>
              <w:top w:val="nil"/>
              <w:left w:val="nil"/>
              <w:bottom w:val="single" w:sz="4" w:space="0" w:color="auto"/>
              <w:right w:val="single" w:sz="4" w:space="0" w:color="auto"/>
            </w:tcBorders>
            <w:shd w:val="clear" w:color="auto" w:fill="auto"/>
            <w:noWrap/>
            <w:vAlign w:val="center"/>
            <w:hideMark/>
          </w:tcPr>
          <w:p w14:paraId="0209D1EB"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509,565</w:t>
            </w:r>
          </w:p>
        </w:tc>
        <w:tc>
          <w:tcPr>
            <w:tcW w:w="667" w:type="pct"/>
            <w:tcBorders>
              <w:top w:val="nil"/>
              <w:left w:val="nil"/>
              <w:bottom w:val="single" w:sz="4" w:space="0" w:color="auto"/>
              <w:right w:val="single" w:sz="4" w:space="0" w:color="auto"/>
            </w:tcBorders>
            <w:shd w:val="clear" w:color="auto" w:fill="auto"/>
            <w:noWrap/>
            <w:vAlign w:val="center"/>
            <w:hideMark/>
          </w:tcPr>
          <w:p w14:paraId="4DC6E3E9"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55,736</w:t>
            </w:r>
          </w:p>
        </w:tc>
        <w:tc>
          <w:tcPr>
            <w:tcW w:w="667" w:type="pct"/>
            <w:tcBorders>
              <w:top w:val="nil"/>
              <w:left w:val="nil"/>
              <w:bottom w:val="single" w:sz="4" w:space="0" w:color="auto"/>
              <w:right w:val="single" w:sz="4" w:space="0" w:color="auto"/>
            </w:tcBorders>
            <w:shd w:val="clear" w:color="auto" w:fill="auto"/>
            <w:noWrap/>
            <w:vAlign w:val="center"/>
            <w:hideMark/>
          </w:tcPr>
          <w:p w14:paraId="62223CAF"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11,945</w:t>
            </w:r>
          </w:p>
        </w:tc>
        <w:tc>
          <w:tcPr>
            <w:tcW w:w="643" w:type="pct"/>
            <w:tcBorders>
              <w:top w:val="nil"/>
              <w:left w:val="nil"/>
              <w:bottom w:val="single" w:sz="4" w:space="0" w:color="auto"/>
              <w:right w:val="single" w:sz="4" w:space="0" w:color="auto"/>
            </w:tcBorders>
            <w:shd w:val="clear" w:color="auto" w:fill="auto"/>
            <w:noWrap/>
            <w:vAlign w:val="center"/>
            <w:hideMark/>
          </w:tcPr>
          <w:p w14:paraId="567EEAA7"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34,962</w:t>
            </w:r>
          </w:p>
        </w:tc>
        <w:tc>
          <w:tcPr>
            <w:tcW w:w="694" w:type="pct"/>
            <w:tcBorders>
              <w:top w:val="nil"/>
              <w:left w:val="nil"/>
              <w:bottom w:val="single" w:sz="4" w:space="0" w:color="auto"/>
              <w:right w:val="single" w:sz="4" w:space="0" w:color="auto"/>
            </w:tcBorders>
            <w:shd w:val="clear" w:color="auto" w:fill="auto"/>
            <w:noWrap/>
            <w:vAlign w:val="center"/>
            <w:hideMark/>
          </w:tcPr>
          <w:p w14:paraId="5DFCE3C7" w14:textId="77777777" w:rsidR="00D643AA" w:rsidRPr="00D643AA" w:rsidRDefault="00D643AA" w:rsidP="00D643AA">
            <w:pPr>
              <w:jc w:val="right"/>
              <w:rPr>
                <w:rFonts w:ascii="Arial" w:hAnsi="Arial" w:cs="Arial"/>
                <w:sz w:val="16"/>
                <w:szCs w:val="16"/>
              </w:rPr>
            </w:pPr>
            <w:r w:rsidRPr="00D643AA">
              <w:rPr>
                <w:rFonts w:ascii="Arial" w:hAnsi="Arial" w:cs="Arial"/>
                <w:sz w:val="16"/>
                <w:szCs w:val="16"/>
              </w:rPr>
              <w:t>406,921</w:t>
            </w:r>
          </w:p>
        </w:tc>
      </w:tr>
      <w:tr w:rsidR="00D643AA" w:rsidRPr="00D643AA" w14:paraId="04902AC0" w14:textId="77777777" w:rsidTr="00D643AA">
        <w:trPr>
          <w:trHeight w:val="254"/>
        </w:trPr>
        <w:tc>
          <w:tcPr>
            <w:tcW w:w="1583" w:type="pct"/>
            <w:tcBorders>
              <w:top w:val="nil"/>
              <w:left w:val="single" w:sz="4" w:space="0" w:color="auto"/>
              <w:bottom w:val="single" w:sz="4" w:space="0" w:color="auto"/>
              <w:right w:val="single" w:sz="4" w:space="0" w:color="auto"/>
            </w:tcBorders>
            <w:shd w:val="clear" w:color="000000" w:fill="FFFFFF"/>
            <w:noWrap/>
            <w:vAlign w:val="center"/>
            <w:hideMark/>
          </w:tcPr>
          <w:p w14:paraId="30476716" w14:textId="57DA65BF" w:rsidR="00D643AA" w:rsidRPr="00D643AA" w:rsidRDefault="00D643AA" w:rsidP="00D643AA">
            <w:pPr>
              <w:jc w:val="center"/>
              <w:rPr>
                <w:rFonts w:ascii="Arial" w:hAnsi="Arial" w:cs="Arial"/>
                <w:b/>
                <w:bCs/>
                <w:sz w:val="16"/>
                <w:szCs w:val="16"/>
              </w:rPr>
            </w:pPr>
            <w:r w:rsidRPr="00D643AA">
              <w:rPr>
                <w:rFonts w:ascii="Arial" w:hAnsi="Arial" w:cs="Arial"/>
                <w:b/>
                <w:bCs/>
                <w:sz w:val="16"/>
                <w:szCs w:val="16"/>
              </w:rPr>
              <w:t>Total General</w:t>
            </w:r>
          </w:p>
        </w:tc>
        <w:tc>
          <w:tcPr>
            <w:tcW w:w="745" w:type="pct"/>
            <w:tcBorders>
              <w:top w:val="nil"/>
              <w:left w:val="nil"/>
              <w:bottom w:val="single" w:sz="4" w:space="0" w:color="auto"/>
              <w:right w:val="single" w:sz="4" w:space="0" w:color="auto"/>
            </w:tcBorders>
            <w:shd w:val="clear" w:color="000000" w:fill="FFFFFF"/>
            <w:noWrap/>
            <w:vAlign w:val="center"/>
            <w:hideMark/>
          </w:tcPr>
          <w:p w14:paraId="3E4A8B96" w14:textId="77777777" w:rsidR="00D643AA" w:rsidRPr="00D643AA" w:rsidRDefault="00D643AA" w:rsidP="00D643AA">
            <w:pPr>
              <w:jc w:val="right"/>
              <w:rPr>
                <w:rFonts w:ascii="Arial" w:hAnsi="Arial" w:cs="Arial"/>
                <w:b/>
                <w:bCs/>
                <w:sz w:val="16"/>
                <w:szCs w:val="16"/>
              </w:rPr>
            </w:pPr>
            <w:r w:rsidRPr="00D643AA">
              <w:rPr>
                <w:rFonts w:ascii="Arial" w:hAnsi="Arial" w:cs="Arial"/>
                <w:b/>
                <w:bCs/>
                <w:sz w:val="16"/>
                <w:szCs w:val="16"/>
              </w:rPr>
              <w:t>2,828,851</w:t>
            </w:r>
          </w:p>
        </w:tc>
        <w:tc>
          <w:tcPr>
            <w:tcW w:w="667" w:type="pct"/>
            <w:tcBorders>
              <w:top w:val="nil"/>
              <w:left w:val="nil"/>
              <w:bottom w:val="single" w:sz="4" w:space="0" w:color="auto"/>
              <w:right w:val="single" w:sz="4" w:space="0" w:color="auto"/>
            </w:tcBorders>
            <w:shd w:val="clear" w:color="000000" w:fill="FFFFFF"/>
            <w:noWrap/>
            <w:vAlign w:val="center"/>
            <w:hideMark/>
          </w:tcPr>
          <w:p w14:paraId="4CD9D61A" w14:textId="77777777" w:rsidR="00D643AA" w:rsidRPr="00D643AA" w:rsidRDefault="00D643AA" w:rsidP="00D643AA">
            <w:pPr>
              <w:jc w:val="right"/>
              <w:rPr>
                <w:rFonts w:ascii="Arial" w:hAnsi="Arial" w:cs="Arial"/>
                <w:b/>
                <w:bCs/>
                <w:sz w:val="16"/>
                <w:szCs w:val="16"/>
              </w:rPr>
            </w:pPr>
            <w:r w:rsidRPr="00D643AA">
              <w:rPr>
                <w:rFonts w:ascii="Arial" w:hAnsi="Arial" w:cs="Arial"/>
                <w:b/>
                <w:bCs/>
                <w:sz w:val="16"/>
                <w:szCs w:val="16"/>
              </w:rPr>
              <w:t>802,799</w:t>
            </w:r>
          </w:p>
        </w:tc>
        <w:tc>
          <w:tcPr>
            <w:tcW w:w="667" w:type="pct"/>
            <w:tcBorders>
              <w:top w:val="nil"/>
              <w:left w:val="nil"/>
              <w:bottom w:val="single" w:sz="4" w:space="0" w:color="auto"/>
              <w:right w:val="single" w:sz="4" w:space="0" w:color="auto"/>
            </w:tcBorders>
            <w:shd w:val="clear" w:color="000000" w:fill="FFFFFF"/>
            <w:noWrap/>
            <w:vAlign w:val="center"/>
            <w:hideMark/>
          </w:tcPr>
          <w:p w14:paraId="5BF790C4" w14:textId="77777777" w:rsidR="00D643AA" w:rsidRPr="00D643AA" w:rsidRDefault="00D643AA" w:rsidP="00D643AA">
            <w:pPr>
              <w:jc w:val="right"/>
              <w:rPr>
                <w:rFonts w:ascii="Arial" w:hAnsi="Arial" w:cs="Arial"/>
                <w:b/>
                <w:bCs/>
                <w:sz w:val="16"/>
                <w:szCs w:val="16"/>
              </w:rPr>
            </w:pPr>
            <w:r w:rsidRPr="00D643AA">
              <w:rPr>
                <w:rFonts w:ascii="Arial" w:hAnsi="Arial" w:cs="Arial"/>
                <w:b/>
                <w:bCs/>
                <w:sz w:val="16"/>
                <w:szCs w:val="16"/>
              </w:rPr>
              <w:t>471,572</w:t>
            </w:r>
          </w:p>
        </w:tc>
        <w:tc>
          <w:tcPr>
            <w:tcW w:w="643" w:type="pct"/>
            <w:tcBorders>
              <w:top w:val="nil"/>
              <w:left w:val="nil"/>
              <w:bottom w:val="single" w:sz="4" w:space="0" w:color="auto"/>
              <w:right w:val="single" w:sz="4" w:space="0" w:color="auto"/>
            </w:tcBorders>
            <w:shd w:val="clear" w:color="000000" w:fill="FFFFFF"/>
            <w:noWrap/>
            <w:vAlign w:val="center"/>
            <w:hideMark/>
          </w:tcPr>
          <w:p w14:paraId="43798991" w14:textId="77777777" w:rsidR="00D643AA" w:rsidRPr="00D643AA" w:rsidRDefault="00D643AA" w:rsidP="00D643AA">
            <w:pPr>
              <w:jc w:val="right"/>
              <w:rPr>
                <w:rFonts w:ascii="Arial" w:hAnsi="Arial" w:cs="Arial"/>
                <w:b/>
                <w:bCs/>
                <w:sz w:val="16"/>
                <w:szCs w:val="16"/>
              </w:rPr>
            </w:pPr>
            <w:r w:rsidRPr="00D643AA">
              <w:rPr>
                <w:rFonts w:ascii="Arial" w:hAnsi="Arial" w:cs="Arial"/>
                <w:b/>
                <w:bCs/>
                <w:sz w:val="16"/>
                <w:szCs w:val="16"/>
              </w:rPr>
              <w:t>328,278</w:t>
            </w:r>
          </w:p>
        </w:tc>
        <w:tc>
          <w:tcPr>
            <w:tcW w:w="694" w:type="pct"/>
            <w:tcBorders>
              <w:top w:val="nil"/>
              <w:left w:val="nil"/>
              <w:bottom w:val="single" w:sz="4" w:space="0" w:color="auto"/>
              <w:right w:val="single" w:sz="4" w:space="0" w:color="auto"/>
            </w:tcBorders>
            <w:shd w:val="clear" w:color="000000" w:fill="FFFFFF"/>
            <w:noWrap/>
            <w:vAlign w:val="center"/>
            <w:hideMark/>
          </w:tcPr>
          <w:p w14:paraId="289F5BC4" w14:textId="77777777" w:rsidR="00D643AA" w:rsidRPr="00D643AA" w:rsidRDefault="00D643AA" w:rsidP="00D643AA">
            <w:pPr>
              <w:jc w:val="right"/>
              <w:rPr>
                <w:rFonts w:ascii="Arial" w:hAnsi="Arial" w:cs="Arial"/>
                <w:b/>
                <w:bCs/>
                <w:sz w:val="16"/>
                <w:szCs w:val="16"/>
              </w:rPr>
            </w:pPr>
            <w:r w:rsidRPr="00D643AA">
              <w:rPr>
                <w:rFonts w:ascii="Arial" w:hAnsi="Arial" w:cs="Arial"/>
                <w:b/>
                <w:bCs/>
                <w:sz w:val="16"/>
                <w:szCs w:val="16"/>
              </w:rPr>
              <w:t>1,226,201</w:t>
            </w:r>
          </w:p>
        </w:tc>
      </w:tr>
    </w:tbl>
    <w:p w14:paraId="34B3AB19" w14:textId="77777777" w:rsidR="00FD765B" w:rsidRDefault="00FD765B" w:rsidP="00BE67F7">
      <w:pPr>
        <w:spacing w:after="120" w:line="360" w:lineRule="auto"/>
        <w:jc w:val="both"/>
        <w:rPr>
          <w:rFonts w:ascii="Arial" w:hAnsi="Arial" w:cs="Arial"/>
          <w:sz w:val="20"/>
          <w:szCs w:val="20"/>
        </w:rPr>
      </w:pPr>
    </w:p>
    <w:p w14:paraId="6BB7B166" w14:textId="77777777" w:rsidR="00FD765B" w:rsidRPr="00933A23" w:rsidRDefault="00FD765B" w:rsidP="00BE67F7">
      <w:pPr>
        <w:spacing w:after="120" w:line="360" w:lineRule="auto"/>
        <w:jc w:val="both"/>
        <w:rPr>
          <w:rFonts w:ascii="Arial" w:hAnsi="Arial" w:cs="Arial"/>
          <w:sz w:val="20"/>
          <w:szCs w:val="20"/>
        </w:rPr>
      </w:pPr>
    </w:p>
    <w:p w14:paraId="38EBB8DC" w14:textId="5409D66A" w:rsidR="00BE67F7" w:rsidRPr="00933A23" w:rsidRDefault="00BE67F7" w:rsidP="00BE67F7">
      <w:pPr>
        <w:spacing w:after="120" w:line="360" w:lineRule="auto"/>
        <w:jc w:val="both"/>
        <w:rPr>
          <w:rFonts w:ascii="Arial" w:hAnsi="Arial" w:cs="Arial"/>
          <w:b/>
          <w:sz w:val="20"/>
          <w:szCs w:val="20"/>
        </w:rPr>
      </w:pPr>
      <w:r w:rsidRPr="00933A23">
        <w:rPr>
          <w:rFonts w:ascii="Arial" w:hAnsi="Arial" w:cs="Arial"/>
          <w:b/>
          <w:sz w:val="20"/>
          <w:szCs w:val="20"/>
        </w:rPr>
        <w:t>P A S I V O</w:t>
      </w:r>
    </w:p>
    <w:p w14:paraId="187389EF" w14:textId="1E3D6778" w:rsidR="00EE21AE" w:rsidRPr="00933A23" w:rsidRDefault="00EE21AE" w:rsidP="00EE21AE">
      <w:pPr>
        <w:pStyle w:val="Prrafodelista"/>
        <w:numPr>
          <w:ilvl w:val="0"/>
          <w:numId w:val="8"/>
        </w:numPr>
        <w:spacing w:after="120" w:line="360" w:lineRule="auto"/>
        <w:jc w:val="both"/>
        <w:rPr>
          <w:rFonts w:ascii="Arial" w:eastAsia="Times New Roman" w:hAnsi="Arial" w:cs="Arial"/>
          <w:b/>
          <w:sz w:val="20"/>
          <w:szCs w:val="20"/>
        </w:rPr>
      </w:pPr>
      <w:r w:rsidRPr="00933A23">
        <w:rPr>
          <w:rFonts w:ascii="Arial" w:eastAsia="Times New Roman" w:hAnsi="Arial" w:cs="Arial"/>
          <w:b/>
          <w:sz w:val="20"/>
          <w:szCs w:val="20"/>
        </w:rPr>
        <w:t>Pasivo Circulante</w:t>
      </w:r>
    </w:p>
    <w:p w14:paraId="19FF6F21" w14:textId="0DA7C38D" w:rsidR="00EE21AE" w:rsidRPr="002841DE" w:rsidRDefault="00EE21AE" w:rsidP="00EE21AE">
      <w:pPr>
        <w:spacing w:after="120" w:line="360" w:lineRule="auto"/>
        <w:jc w:val="center"/>
        <w:rPr>
          <w:rFonts w:ascii="Arial" w:hAnsi="Arial" w:cs="Arial"/>
          <w:sz w:val="18"/>
          <w:szCs w:val="20"/>
        </w:rPr>
      </w:pPr>
      <w:r w:rsidRPr="002841DE">
        <w:rPr>
          <w:rFonts w:ascii="Arial" w:hAnsi="Arial" w:cs="Arial"/>
          <w:sz w:val="18"/>
          <w:szCs w:val="20"/>
        </w:rPr>
        <w:t>(Miles de Pesos)</w:t>
      </w:r>
    </w:p>
    <w:tbl>
      <w:tblPr>
        <w:tblW w:w="5027" w:type="pct"/>
        <w:tblCellMar>
          <w:left w:w="70" w:type="dxa"/>
          <w:right w:w="70" w:type="dxa"/>
        </w:tblCellMar>
        <w:tblLook w:val="04A0" w:firstRow="1" w:lastRow="0" w:firstColumn="1" w:lastColumn="0" w:noHBand="0" w:noVBand="1"/>
      </w:tblPr>
      <w:tblGrid>
        <w:gridCol w:w="2777"/>
        <w:gridCol w:w="1358"/>
        <w:gridCol w:w="1358"/>
        <w:gridCol w:w="1129"/>
        <w:gridCol w:w="1129"/>
        <w:gridCol w:w="1125"/>
      </w:tblGrid>
      <w:tr w:rsidR="005272EC" w:rsidRPr="005272EC" w14:paraId="22331801" w14:textId="77777777" w:rsidTr="00C139FB">
        <w:trPr>
          <w:trHeight w:val="255"/>
        </w:trPr>
        <w:tc>
          <w:tcPr>
            <w:tcW w:w="1564" w:type="pct"/>
            <w:vMerge w:val="restart"/>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2F9BB8F2"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Nombre de la sub-cuenta</w:t>
            </w:r>
          </w:p>
        </w:tc>
        <w:tc>
          <w:tcPr>
            <w:tcW w:w="765" w:type="pct"/>
            <w:vMerge w:val="restart"/>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0412F768"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Saldo al cierre del periodo</w:t>
            </w:r>
          </w:p>
        </w:tc>
        <w:tc>
          <w:tcPr>
            <w:tcW w:w="2671" w:type="pct"/>
            <w:gridSpan w:val="4"/>
            <w:tcBorders>
              <w:top w:val="single" w:sz="4" w:space="0" w:color="auto"/>
              <w:left w:val="nil"/>
              <w:bottom w:val="single" w:sz="4" w:space="0" w:color="auto"/>
              <w:right w:val="single" w:sz="4" w:space="0" w:color="000000"/>
            </w:tcBorders>
            <w:shd w:val="clear" w:color="auto" w:fill="17365D" w:themeFill="text2" w:themeFillShade="BF"/>
            <w:vAlign w:val="center"/>
            <w:hideMark/>
          </w:tcPr>
          <w:p w14:paraId="66A9FBF0"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Antigüedad en número de días</w:t>
            </w:r>
          </w:p>
        </w:tc>
      </w:tr>
      <w:tr w:rsidR="005272EC" w:rsidRPr="005272EC" w14:paraId="5B397E5F" w14:textId="77777777" w:rsidTr="00C139FB">
        <w:trPr>
          <w:trHeight w:val="510"/>
        </w:trPr>
        <w:tc>
          <w:tcPr>
            <w:tcW w:w="1564" w:type="pct"/>
            <w:vMerge/>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1D2CB4D5" w14:textId="77777777" w:rsidR="005272EC" w:rsidRPr="005272EC" w:rsidRDefault="005272EC" w:rsidP="005272EC">
            <w:pPr>
              <w:rPr>
                <w:rFonts w:ascii="Arial" w:hAnsi="Arial" w:cs="Arial"/>
                <w:sz w:val="16"/>
                <w:szCs w:val="16"/>
              </w:rPr>
            </w:pPr>
          </w:p>
        </w:tc>
        <w:tc>
          <w:tcPr>
            <w:tcW w:w="765" w:type="pct"/>
            <w:vMerge/>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14:paraId="57221A62" w14:textId="77777777" w:rsidR="005272EC" w:rsidRPr="005272EC" w:rsidRDefault="005272EC" w:rsidP="005272EC">
            <w:pPr>
              <w:rPr>
                <w:rFonts w:ascii="Arial" w:hAnsi="Arial" w:cs="Arial"/>
                <w:sz w:val="16"/>
                <w:szCs w:val="16"/>
              </w:rPr>
            </w:pPr>
          </w:p>
        </w:tc>
        <w:tc>
          <w:tcPr>
            <w:tcW w:w="765" w:type="pct"/>
            <w:tcBorders>
              <w:top w:val="nil"/>
              <w:left w:val="nil"/>
              <w:bottom w:val="single" w:sz="4" w:space="0" w:color="auto"/>
              <w:right w:val="single" w:sz="4" w:space="0" w:color="auto"/>
            </w:tcBorders>
            <w:shd w:val="clear" w:color="auto" w:fill="17365D" w:themeFill="text2" w:themeFillShade="BF"/>
            <w:vAlign w:val="center"/>
            <w:hideMark/>
          </w:tcPr>
          <w:p w14:paraId="525AF49F"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Menor o igual a 90</w:t>
            </w:r>
          </w:p>
        </w:tc>
        <w:tc>
          <w:tcPr>
            <w:tcW w:w="636" w:type="pct"/>
            <w:tcBorders>
              <w:top w:val="nil"/>
              <w:left w:val="nil"/>
              <w:bottom w:val="single" w:sz="4" w:space="0" w:color="auto"/>
              <w:right w:val="single" w:sz="4" w:space="0" w:color="auto"/>
            </w:tcBorders>
            <w:shd w:val="clear" w:color="auto" w:fill="17365D" w:themeFill="text2" w:themeFillShade="BF"/>
            <w:vAlign w:val="center"/>
            <w:hideMark/>
          </w:tcPr>
          <w:p w14:paraId="06675B7F"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 xml:space="preserve">de 90 a 180 </w:t>
            </w:r>
          </w:p>
        </w:tc>
        <w:tc>
          <w:tcPr>
            <w:tcW w:w="636" w:type="pct"/>
            <w:tcBorders>
              <w:top w:val="nil"/>
              <w:left w:val="nil"/>
              <w:bottom w:val="single" w:sz="4" w:space="0" w:color="auto"/>
              <w:right w:val="single" w:sz="4" w:space="0" w:color="auto"/>
            </w:tcBorders>
            <w:shd w:val="clear" w:color="auto" w:fill="17365D" w:themeFill="text2" w:themeFillShade="BF"/>
            <w:vAlign w:val="center"/>
            <w:hideMark/>
          </w:tcPr>
          <w:p w14:paraId="462DC18C"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de 181 a 365</w:t>
            </w:r>
          </w:p>
        </w:tc>
        <w:tc>
          <w:tcPr>
            <w:tcW w:w="634" w:type="pct"/>
            <w:tcBorders>
              <w:top w:val="nil"/>
              <w:left w:val="nil"/>
              <w:bottom w:val="single" w:sz="4" w:space="0" w:color="auto"/>
              <w:right w:val="single" w:sz="4" w:space="0" w:color="auto"/>
            </w:tcBorders>
            <w:shd w:val="clear" w:color="auto" w:fill="17365D" w:themeFill="text2" w:themeFillShade="BF"/>
            <w:vAlign w:val="center"/>
            <w:hideMark/>
          </w:tcPr>
          <w:p w14:paraId="6466EA5B"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Mayor a 365</w:t>
            </w:r>
          </w:p>
        </w:tc>
      </w:tr>
      <w:tr w:rsidR="005272EC" w:rsidRPr="005272EC" w14:paraId="4F65B5AE" w14:textId="77777777" w:rsidTr="005272EC">
        <w:trPr>
          <w:trHeight w:val="394"/>
        </w:trPr>
        <w:tc>
          <w:tcPr>
            <w:tcW w:w="15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1F022" w14:textId="6108DC13" w:rsidR="005272EC" w:rsidRPr="005272EC" w:rsidRDefault="005272EC" w:rsidP="005272EC">
            <w:pPr>
              <w:rPr>
                <w:rFonts w:ascii="Arial" w:hAnsi="Arial" w:cs="Arial"/>
                <w:sz w:val="16"/>
                <w:szCs w:val="16"/>
              </w:rPr>
            </w:pPr>
            <w:r w:rsidRPr="005272EC">
              <w:rPr>
                <w:rFonts w:ascii="Arial" w:hAnsi="Arial" w:cs="Arial"/>
                <w:sz w:val="16"/>
                <w:szCs w:val="16"/>
              </w:rPr>
              <w:t xml:space="preserve">Servicios Personales </w:t>
            </w:r>
            <w:r>
              <w:rPr>
                <w:rFonts w:ascii="Arial" w:hAnsi="Arial" w:cs="Arial"/>
                <w:sz w:val="16"/>
                <w:szCs w:val="16"/>
              </w:rPr>
              <w:t>a</w:t>
            </w:r>
            <w:r w:rsidRPr="005272EC">
              <w:rPr>
                <w:rFonts w:ascii="Arial" w:hAnsi="Arial" w:cs="Arial"/>
                <w:sz w:val="16"/>
                <w:szCs w:val="16"/>
              </w:rPr>
              <w:t xml:space="preserve"> Pagar Corto Plazo</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056183A"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87,056</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1EC34AC"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87,056</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6DAD8EE3"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364F8397"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23780BB4"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r>
      <w:tr w:rsidR="005272EC" w:rsidRPr="005272EC" w14:paraId="2359256B" w14:textId="77777777" w:rsidTr="005272EC">
        <w:trPr>
          <w:trHeight w:val="394"/>
        </w:trPr>
        <w:tc>
          <w:tcPr>
            <w:tcW w:w="1564" w:type="pct"/>
            <w:tcBorders>
              <w:top w:val="nil"/>
              <w:left w:val="single" w:sz="4" w:space="0" w:color="auto"/>
              <w:bottom w:val="single" w:sz="4" w:space="0" w:color="auto"/>
              <w:right w:val="single" w:sz="4" w:space="0" w:color="auto"/>
            </w:tcBorders>
            <w:shd w:val="clear" w:color="auto" w:fill="auto"/>
            <w:vAlign w:val="center"/>
            <w:hideMark/>
          </w:tcPr>
          <w:p w14:paraId="0BF7C462" w14:textId="55524072" w:rsidR="005272EC" w:rsidRPr="005272EC" w:rsidRDefault="005272EC" w:rsidP="005272EC">
            <w:pPr>
              <w:rPr>
                <w:rFonts w:ascii="Arial" w:hAnsi="Arial" w:cs="Arial"/>
                <w:sz w:val="16"/>
                <w:szCs w:val="16"/>
              </w:rPr>
            </w:pPr>
            <w:r w:rsidRPr="005272EC">
              <w:rPr>
                <w:rFonts w:ascii="Arial" w:hAnsi="Arial" w:cs="Arial"/>
                <w:sz w:val="16"/>
                <w:szCs w:val="16"/>
              </w:rPr>
              <w:t xml:space="preserve">Proveedores </w:t>
            </w:r>
            <w:r>
              <w:rPr>
                <w:rFonts w:ascii="Arial" w:hAnsi="Arial" w:cs="Arial"/>
                <w:sz w:val="16"/>
                <w:szCs w:val="16"/>
              </w:rPr>
              <w:t>p</w:t>
            </w:r>
            <w:r w:rsidRPr="005272EC">
              <w:rPr>
                <w:rFonts w:ascii="Arial" w:hAnsi="Arial" w:cs="Arial"/>
                <w:sz w:val="16"/>
                <w:szCs w:val="16"/>
              </w:rPr>
              <w:t xml:space="preserve">or Pagar </w:t>
            </w:r>
            <w:r>
              <w:rPr>
                <w:rFonts w:ascii="Arial" w:hAnsi="Arial" w:cs="Arial"/>
                <w:sz w:val="16"/>
                <w:szCs w:val="16"/>
              </w:rPr>
              <w:t>a</w:t>
            </w:r>
            <w:r w:rsidRPr="005272EC">
              <w:rPr>
                <w:rFonts w:ascii="Arial" w:hAnsi="Arial" w:cs="Arial"/>
                <w:sz w:val="16"/>
                <w:szCs w:val="16"/>
              </w:rPr>
              <w:t xml:space="preserve"> Corto Plazo</w:t>
            </w:r>
          </w:p>
        </w:tc>
        <w:tc>
          <w:tcPr>
            <w:tcW w:w="765" w:type="pct"/>
            <w:tcBorders>
              <w:top w:val="nil"/>
              <w:left w:val="nil"/>
              <w:bottom w:val="single" w:sz="4" w:space="0" w:color="auto"/>
              <w:right w:val="single" w:sz="4" w:space="0" w:color="auto"/>
            </w:tcBorders>
            <w:shd w:val="clear" w:color="auto" w:fill="auto"/>
            <w:vAlign w:val="center"/>
            <w:hideMark/>
          </w:tcPr>
          <w:p w14:paraId="3B3593DB"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287,136</w:t>
            </w:r>
          </w:p>
        </w:tc>
        <w:tc>
          <w:tcPr>
            <w:tcW w:w="765" w:type="pct"/>
            <w:tcBorders>
              <w:top w:val="nil"/>
              <w:left w:val="nil"/>
              <w:bottom w:val="single" w:sz="4" w:space="0" w:color="auto"/>
              <w:right w:val="single" w:sz="4" w:space="0" w:color="auto"/>
            </w:tcBorders>
            <w:shd w:val="clear" w:color="auto" w:fill="auto"/>
            <w:vAlign w:val="center"/>
            <w:hideMark/>
          </w:tcPr>
          <w:p w14:paraId="11761180"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173,306</w:t>
            </w:r>
          </w:p>
        </w:tc>
        <w:tc>
          <w:tcPr>
            <w:tcW w:w="636" w:type="pct"/>
            <w:tcBorders>
              <w:top w:val="nil"/>
              <w:left w:val="nil"/>
              <w:bottom w:val="single" w:sz="4" w:space="0" w:color="auto"/>
              <w:right w:val="single" w:sz="4" w:space="0" w:color="auto"/>
            </w:tcBorders>
            <w:shd w:val="clear" w:color="auto" w:fill="auto"/>
            <w:vAlign w:val="center"/>
            <w:hideMark/>
          </w:tcPr>
          <w:p w14:paraId="798A2646"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23,921</w:t>
            </w:r>
          </w:p>
        </w:tc>
        <w:tc>
          <w:tcPr>
            <w:tcW w:w="636" w:type="pct"/>
            <w:tcBorders>
              <w:top w:val="nil"/>
              <w:left w:val="nil"/>
              <w:bottom w:val="single" w:sz="4" w:space="0" w:color="auto"/>
              <w:right w:val="single" w:sz="4" w:space="0" w:color="auto"/>
            </w:tcBorders>
            <w:shd w:val="clear" w:color="auto" w:fill="auto"/>
            <w:vAlign w:val="center"/>
            <w:hideMark/>
          </w:tcPr>
          <w:p w14:paraId="43EB5646"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26,339</w:t>
            </w:r>
          </w:p>
        </w:tc>
        <w:tc>
          <w:tcPr>
            <w:tcW w:w="634" w:type="pct"/>
            <w:tcBorders>
              <w:top w:val="nil"/>
              <w:left w:val="nil"/>
              <w:bottom w:val="single" w:sz="4" w:space="0" w:color="auto"/>
              <w:right w:val="single" w:sz="4" w:space="0" w:color="auto"/>
            </w:tcBorders>
            <w:shd w:val="clear" w:color="auto" w:fill="auto"/>
            <w:vAlign w:val="center"/>
            <w:hideMark/>
          </w:tcPr>
          <w:p w14:paraId="3659853C"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63,569</w:t>
            </w:r>
          </w:p>
        </w:tc>
      </w:tr>
      <w:tr w:rsidR="005272EC" w:rsidRPr="005272EC" w14:paraId="14ABA3F5" w14:textId="77777777" w:rsidTr="005272EC">
        <w:trPr>
          <w:trHeight w:val="394"/>
        </w:trPr>
        <w:tc>
          <w:tcPr>
            <w:tcW w:w="1564" w:type="pct"/>
            <w:tcBorders>
              <w:top w:val="nil"/>
              <w:left w:val="single" w:sz="4" w:space="0" w:color="auto"/>
              <w:bottom w:val="single" w:sz="4" w:space="0" w:color="auto"/>
              <w:right w:val="single" w:sz="4" w:space="0" w:color="auto"/>
            </w:tcBorders>
            <w:shd w:val="clear" w:color="auto" w:fill="auto"/>
            <w:vAlign w:val="center"/>
            <w:hideMark/>
          </w:tcPr>
          <w:p w14:paraId="2DFD2C73" w14:textId="264D0478" w:rsidR="005272EC" w:rsidRPr="005272EC" w:rsidRDefault="005272EC" w:rsidP="005272EC">
            <w:pPr>
              <w:rPr>
                <w:rFonts w:ascii="Arial" w:hAnsi="Arial" w:cs="Arial"/>
                <w:sz w:val="16"/>
                <w:szCs w:val="16"/>
              </w:rPr>
            </w:pPr>
            <w:r w:rsidRPr="005272EC">
              <w:rPr>
                <w:rFonts w:ascii="Arial" w:hAnsi="Arial" w:cs="Arial"/>
                <w:sz w:val="16"/>
                <w:szCs w:val="16"/>
              </w:rPr>
              <w:t xml:space="preserve">Contratistas </w:t>
            </w:r>
            <w:r>
              <w:rPr>
                <w:rFonts w:ascii="Arial" w:hAnsi="Arial" w:cs="Arial"/>
                <w:sz w:val="16"/>
                <w:szCs w:val="16"/>
              </w:rPr>
              <w:t>p</w:t>
            </w:r>
            <w:r w:rsidRPr="005272EC">
              <w:rPr>
                <w:rFonts w:ascii="Arial" w:hAnsi="Arial" w:cs="Arial"/>
                <w:sz w:val="16"/>
                <w:szCs w:val="16"/>
              </w:rPr>
              <w:t>or Ob</w:t>
            </w:r>
            <w:r>
              <w:rPr>
                <w:rFonts w:ascii="Arial" w:hAnsi="Arial" w:cs="Arial"/>
                <w:sz w:val="16"/>
                <w:szCs w:val="16"/>
              </w:rPr>
              <w:t>ra</w:t>
            </w:r>
            <w:r w:rsidRPr="005272EC">
              <w:rPr>
                <w:rFonts w:ascii="Arial" w:hAnsi="Arial" w:cs="Arial"/>
                <w:sz w:val="16"/>
                <w:szCs w:val="16"/>
              </w:rPr>
              <w:t xml:space="preserve"> Públ</w:t>
            </w:r>
            <w:r>
              <w:rPr>
                <w:rFonts w:ascii="Arial" w:hAnsi="Arial" w:cs="Arial"/>
                <w:sz w:val="16"/>
                <w:szCs w:val="16"/>
              </w:rPr>
              <w:t>ica por</w:t>
            </w:r>
            <w:r w:rsidRPr="005272EC">
              <w:rPr>
                <w:rFonts w:ascii="Arial" w:hAnsi="Arial" w:cs="Arial"/>
                <w:sz w:val="16"/>
                <w:szCs w:val="16"/>
              </w:rPr>
              <w:t xml:space="preserve"> Pagar </w:t>
            </w:r>
            <w:r>
              <w:rPr>
                <w:rFonts w:ascii="Arial" w:hAnsi="Arial" w:cs="Arial"/>
                <w:sz w:val="16"/>
                <w:szCs w:val="16"/>
              </w:rPr>
              <w:t>a</w:t>
            </w:r>
            <w:r w:rsidRPr="005272EC">
              <w:rPr>
                <w:rFonts w:ascii="Arial" w:hAnsi="Arial" w:cs="Arial"/>
                <w:sz w:val="16"/>
                <w:szCs w:val="16"/>
              </w:rPr>
              <w:t xml:space="preserve"> Corto Plazo</w:t>
            </w:r>
          </w:p>
        </w:tc>
        <w:tc>
          <w:tcPr>
            <w:tcW w:w="765" w:type="pct"/>
            <w:tcBorders>
              <w:top w:val="nil"/>
              <w:left w:val="nil"/>
              <w:bottom w:val="single" w:sz="4" w:space="0" w:color="auto"/>
              <w:right w:val="single" w:sz="4" w:space="0" w:color="auto"/>
            </w:tcBorders>
            <w:shd w:val="clear" w:color="auto" w:fill="auto"/>
            <w:vAlign w:val="center"/>
            <w:hideMark/>
          </w:tcPr>
          <w:p w14:paraId="649F028E"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765" w:type="pct"/>
            <w:tcBorders>
              <w:top w:val="nil"/>
              <w:left w:val="nil"/>
              <w:bottom w:val="single" w:sz="4" w:space="0" w:color="auto"/>
              <w:right w:val="single" w:sz="4" w:space="0" w:color="auto"/>
            </w:tcBorders>
            <w:shd w:val="clear" w:color="auto" w:fill="auto"/>
            <w:vAlign w:val="center"/>
            <w:hideMark/>
          </w:tcPr>
          <w:p w14:paraId="4331E611"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nil"/>
              <w:left w:val="nil"/>
              <w:bottom w:val="single" w:sz="4" w:space="0" w:color="auto"/>
              <w:right w:val="single" w:sz="4" w:space="0" w:color="auto"/>
            </w:tcBorders>
            <w:shd w:val="clear" w:color="auto" w:fill="auto"/>
            <w:vAlign w:val="center"/>
            <w:hideMark/>
          </w:tcPr>
          <w:p w14:paraId="6C53E3E7"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nil"/>
              <w:left w:val="nil"/>
              <w:bottom w:val="single" w:sz="4" w:space="0" w:color="auto"/>
              <w:right w:val="single" w:sz="4" w:space="0" w:color="auto"/>
            </w:tcBorders>
            <w:shd w:val="clear" w:color="auto" w:fill="auto"/>
            <w:vAlign w:val="center"/>
            <w:hideMark/>
          </w:tcPr>
          <w:p w14:paraId="695B0AEE"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4" w:type="pct"/>
            <w:tcBorders>
              <w:top w:val="nil"/>
              <w:left w:val="nil"/>
              <w:bottom w:val="single" w:sz="4" w:space="0" w:color="auto"/>
              <w:right w:val="single" w:sz="4" w:space="0" w:color="auto"/>
            </w:tcBorders>
            <w:shd w:val="clear" w:color="auto" w:fill="auto"/>
            <w:vAlign w:val="center"/>
            <w:hideMark/>
          </w:tcPr>
          <w:p w14:paraId="64BF2998"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r>
      <w:tr w:rsidR="005272EC" w:rsidRPr="005272EC" w14:paraId="664F51F4" w14:textId="77777777" w:rsidTr="005272EC">
        <w:trPr>
          <w:trHeight w:val="394"/>
        </w:trPr>
        <w:tc>
          <w:tcPr>
            <w:tcW w:w="1564" w:type="pct"/>
            <w:tcBorders>
              <w:top w:val="nil"/>
              <w:left w:val="single" w:sz="4" w:space="0" w:color="auto"/>
              <w:bottom w:val="single" w:sz="4" w:space="0" w:color="auto"/>
              <w:right w:val="single" w:sz="4" w:space="0" w:color="auto"/>
            </w:tcBorders>
            <w:shd w:val="clear" w:color="auto" w:fill="auto"/>
            <w:vAlign w:val="center"/>
            <w:hideMark/>
          </w:tcPr>
          <w:p w14:paraId="17BDAB86" w14:textId="01FAFE3B" w:rsidR="005272EC" w:rsidRPr="005272EC" w:rsidRDefault="005272EC" w:rsidP="005272EC">
            <w:pPr>
              <w:rPr>
                <w:rFonts w:ascii="Arial" w:hAnsi="Arial" w:cs="Arial"/>
                <w:sz w:val="16"/>
                <w:szCs w:val="16"/>
              </w:rPr>
            </w:pPr>
            <w:r w:rsidRPr="005272EC">
              <w:rPr>
                <w:rFonts w:ascii="Arial" w:hAnsi="Arial" w:cs="Arial"/>
                <w:sz w:val="16"/>
                <w:szCs w:val="16"/>
              </w:rPr>
              <w:t xml:space="preserve">Participaciones </w:t>
            </w:r>
            <w:r>
              <w:rPr>
                <w:rFonts w:ascii="Arial" w:hAnsi="Arial" w:cs="Arial"/>
                <w:sz w:val="16"/>
                <w:szCs w:val="16"/>
              </w:rPr>
              <w:t>y</w:t>
            </w:r>
            <w:r w:rsidRPr="005272EC">
              <w:rPr>
                <w:rFonts w:ascii="Arial" w:hAnsi="Arial" w:cs="Arial"/>
                <w:sz w:val="16"/>
                <w:szCs w:val="16"/>
              </w:rPr>
              <w:t xml:space="preserve"> Aportaciones </w:t>
            </w:r>
            <w:r>
              <w:rPr>
                <w:rFonts w:ascii="Arial" w:hAnsi="Arial" w:cs="Arial"/>
                <w:sz w:val="16"/>
                <w:szCs w:val="16"/>
              </w:rPr>
              <w:t>p</w:t>
            </w:r>
            <w:r w:rsidRPr="005272EC">
              <w:rPr>
                <w:rFonts w:ascii="Arial" w:hAnsi="Arial" w:cs="Arial"/>
                <w:sz w:val="16"/>
                <w:szCs w:val="16"/>
              </w:rPr>
              <w:t>or Pagar</w:t>
            </w:r>
          </w:p>
        </w:tc>
        <w:tc>
          <w:tcPr>
            <w:tcW w:w="765" w:type="pct"/>
            <w:tcBorders>
              <w:top w:val="nil"/>
              <w:left w:val="nil"/>
              <w:bottom w:val="single" w:sz="4" w:space="0" w:color="auto"/>
              <w:right w:val="single" w:sz="4" w:space="0" w:color="auto"/>
            </w:tcBorders>
            <w:shd w:val="clear" w:color="auto" w:fill="auto"/>
            <w:vAlign w:val="center"/>
            <w:hideMark/>
          </w:tcPr>
          <w:p w14:paraId="6269EC06"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-11,470</w:t>
            </w:r>
          </w:p>
        </w:tc>
        <w:tc>
          <w:tcPr>
            <w:tcW w:w="765" w:type="pct"/>
            <w:tcBorders>
              <w:top w:val="nil"/>
              <w:left w:val="nil"/>
              <w:bottom w:val="single" w:sz="4" w:space="0" w:color="auto"/>
              <w:right w:val="single" w:sz="4" w:space="0" w:color="auto"/>
            </w:tcBorders>
            <w:shd w:val="clear" w:color="auto" w:fill="auto"/>
            <w:vAlign w:val="center"/>
            <w:hideMark/>
          </w:tcPr>
          <w:p w14:paraId="149092CD"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-11,976</w:t>
            </w:r>
          </w:p>
        </w:tc>
        <w:tc>
          <w:tcPr>
            <w:tcW w:w="636" w:type="pct"/>
            <w:tcBorders>
              <w:top w:val="nil"/>
              <w:left w:val="nil"/>
              <w:bottom w:val="single" w:sz="4" w:space="0" w:color="auto"/>
              <w:right w:val="single" w:sz="4" w:space="0" w:color="auto"/>
            </w:tcBorders>
            <w:shd w:val="clear" w:color="auto" w:fill="auto"/>
            <w:vAlign w:val="center"/>
            <w:hideMark/>
          </w:tcPr>
          <w:p w14:paraId="095C762D"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nil"/>
              <w:left w:val="nil"/>
              <w:bottom w:val="single" w:sz="4" w:space="0" w:color="auto"/>
              <w:right w:val="single" w:sz="4" w:space="0" w:color="auto"/>
            </w:tcBorders>
            <w:shd w:val="clear" w:color="auto" w:fill="auto"/>
            <w:vAlign w:val="center"/>
            <w:hideMark/>
          </w:tcPr>
          <w:p w14:paraId="3B2E5C90"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4" w:type="pct"/>
            <w:tcBorders>
              <w:top w:val="nil"/>
              <w:left w:val="nil"/>
              <w:bottom w:val="single" w:sz="4" w:space="0" w:color="auto"/>
              <w:right w:val="single" w:sz="4" w:space="0" w:color="auto"/>
            </w:tcBorders>
            <w:shd w:val="clear" w:color="auto" w:fill="auto"/>
            <w:vAlign w:val="center"/>
            <w:hideMark/>
          </w:tcPr>
          <w:p w14:paraId="7CA1CD56"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506</w:t>
            </w:r>
          </w:p>
        </w:tc>
      </w:tr>
      <w:tr w:rsidR="005272EC" w:rsidRPr="005272EC" w14:paraId="2739ABA2" w14:textId="77777777" w:rsidTr="005272EC">
        <w:trPr>
          <w:trHeight w:val="394"/>
        </w:trPr>
        <w:tc>
          <w:tcPr>
            <w:tcW w:w="1564" w:type="pct"/>
            <w:tcBorders>
              <w:top w:val="nil"/>
              <w:left w:val="single" w:sz="4" w:space="0" w:color="auto"/>
              <w:bottom w:val="single" w:sz="4" w:space="0" w:color="auto"/>
              <w:right w:val="single" w:sz="4" w:space="0" w:color="auto"/>
            </w:tcBorders>
            <w:shd w:val="clear" w:color="auto" w:fill="auto"/>
            <w:vAlign w:val="center"/>
            <w:hideMark/>
          </w:tcPr>
          <w:p w14:paraId="0C07E545" w14:textId="0964DAED" w:rsidR="005272EC" w:rsidRPr="005272EC" w:rsidRDefault="005272EC" w:rsidP="005272EC">
            <w:pPr>
              <w:rPr>
                <w:rFonts w:ascii="Arial" w:hAnsi="Arial" w:cs="Arial"/>
                <w:sz w:val="16"/>
                <w:szCs w:val="16"/>
              </w:rPr>
            </w:pPr>
            <w:r w:rsidRPr="005272EC">
              <w:rPr>
                <w:rFonts w:ascii="Arial" w:hAnsi="Arial" w:cs="Arial"/>
                <w:sz w:val="16"/>
                <w:szCs w:val="16"/>
              </w:rPr>
              <w:t xml:space="preserve">Transferencias Otorgadas </w:t>
            </w:r>
            <w:r>
              <w:rPr>
                <w:rFonts w:ascii="Arial" w:hAnsi="Arial" w:cs="Arial"/>
                <w:sz w:val="16"/>
                <w:szCs w:val="16"/>
              </w:rPr>
              <w:t>p</w:t>
            </w:r>
            <w:r w:rsidRPr="005272EC">
              <w:rPr>
                <w:rFonts w:ascii="Arial" w:hAnsi="Arial" w:cs="Arial"/>
                <w:sz w:val="16"/>
                <w:szCs w:val="16"/>
              </w:rPr>
              <w:t xml:space="preserve">or Pagar </w:t>
            </w:r>
            <w:r>
              <w:rPr>
                <w:rFonts w:ascii="Arial" w:hAnsi="Arial" w:cs="Arial"/>
                <w:sz w:val="16"/>
                <w:szCs w:val="16"/>
              </w:rPr>
              <w:t xml:space="preserve">a </w:t>
            </w:r>
            <w:r w:rsidRPr="005272EC">
              <w:rPr>
                <w:rFonts w:ascii="Arial" w:hAnsi="Arial" w:cs="Arial"/>
                <w:sz w:val="16"/>
                <w:szCs w:val="16"/>
              </w:rPr>
              <w:t>Corto Plazo</w:t>
            </w:r>
          </w:p>
        </w:tc>
        <w:tc>
          <w:tcPr>
            <w:tcW w:w="765" w:type="pct"/>
            <w:tcBorders>
              <w:top w:val="nil"/>
              <w:left w:val="nil"/>
              <w:bottom w:val="single" w:sz="4" w:space="0" w:color="auto"/>
              <w:right w:val="single" w:sz="4" w:space="0" w:color="auto"/>
            </w:tcBorders>
            <w:shd w:val="clear" w:color="auto" w:fill="auto"/>
            <w:vAlign w:val="center"/>
            <w:hideMark/>
          </w:tcPr>
          <w:p w14:paraId="25F34390"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144,556</w:t>
            </w:r>
          </w:p>
        </w:tc>
        <w:tc>
          <w:tcPr>
            <w:tcW w:w="765" w:type="pct"/>
            <w:tcBorders>
              <w:top w:val="nil"/>
              <w:left w:val="nil"/>
              <w:bottom w:val="single" w:sz="4" w:space="0" w:color="auto"/>
              <w:right w:val="single" w:sz="4" w:space="0" w:color="auto"/>
            </w:tcBorders>
            <w:shd w:val="clear" w:color="auto" w:fill="auto"/>
            <w:vAlign w:val="center"/>
            <w:hideMark/>
          </w:tcPr>
          <w:p w14:paraId="0073A756"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77,685</w:t>
            </w:r>
          </w:p>
        </w:tc>
        <w:tc>
          <w:tcPr>
            <w:tcW w:w="636" w:type="pct"/>
            <w:tcBorders>
              <w:top w:val="nil"/>
              <w:left w:val="nil"/>
              <w:bottom w:val="single" w:sz="4" w:space="0" w:color="auto"/>
              <w:right w:val="single" w:sz="4" w:space="0" w:color="auto"/>
            </w:tcBorders>
            <w:shd w:val="clear" w:color="auto" w:fill="auto"/>
            <w:vAlign w:val="center"/>
            <w:hideMark/>
          </w:tcPr>
          <w:p w14:paraId="6FE72E4F"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30,853</w:t>
            </w:r>
          </w:p>
        </w:tc>
        <w:tc>
          <w:tcPr>
            <w:tcW w:w="636" w:type="pct"/>
            <w:tcBorders>
              <w:top w:val="nil"/>
              <w:left w:val="nil"/>
              <w:bottom w:val="single" w:sz="4" w:space="0" w:color="auto"/>
              <w:right w:val="single" w:sz="4" w:space="0" w:color="auto"/>
            </w:tcBorders>
            <w:shd w:val="clear" w:color="auto" w:fill="auto"/>
            <w:vAlign w:val="center"/>
            <w:hideMark/>
          </w:tcPr>
          <w:p w14:paraId="12E88304"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7,345</w:t>
            </w:r>
          </w:p>
        </w:tc>
        <w:tc>
          <w:tcPr>
            <w:tcW w:w="634" w:type="pct"/>
            <w:tcBorders>
              <w:top w:val="nil"/>
              <w:left w:val="nil"/>
              <w:bottom w:val="single" w:sz="4" w:space="0" w:color="auto"/>
              <w:right w:val="single" w:sz="4" w:space="0" w:color="auto"/>
            </w:tcBorders>
            <w:shd w:val="clear" w:color="auto" w:fill="auto"/>
            <w:vAlign w:val="center"/>
            <w:hideMark/>
          </w:tcPr>
          <w:p w14:paraId="7CF6E845"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28,673</w:t>
            </w:r>
          </w:p>
        </w:tc>
      </w:tr>
      <w:tr w:rsidR="005272EC" w:rsidRPr="005272EC" w14:paraId="6DB74DA7" w14:textId="77777777" w:rsidTr="005272EC">
        <w:trPr>
          <w:trHeight w:val="394"/>
        </w:trPr>
        <w:tc>
          <w:tcPr>
            <w:tcW w:w="1564" w:type="pct"/>
            <w:tcBorders>
              <w:top w:val="nil"/>
              <w:left w:val="single" w:sz="4" w:space="0" w:color="auto"/>
              <w:bottom w:val="single" w:sz="4" w:space="0" w:color="auto"/>
              <w:right w:val="single" w:sz="4" w:space="0" w:color="auto"/>
            </w:tcBorders>
            <w:shd w:val="clear" w:color="auto" w:fill="auto"/>
            <w:vAlign w:val="center"/>
            <w:hideMark/>
          </w:tcPr>
          <w:p w14:paraId="6A7A3666" w14:textId="046587F3" w:rsidR="005272EC" w:rsidRPr="005272EC" w:rsidRDefault="005272EC" w:rsidP="005272EC">
            <w:pPr>
              <w:rPr>
                <w:rFonts w:ascii="Arial" w:hAnsi="Arial" w:cs="Arial"/>
                <w:sz w:val="16"/>
                <w:szCs w:val="16"/>
              </w:rPr>
            </w:pPr>
            <w:r w:rsidRPr="005272EC">
              <w:rPr>
                <w:rFonts w:ascii="Arial" w:hAnsi="Arial" w:cs="Arial"/>
                <w:sz w:val="16"/>
                <w:szCs w:val="16"/>
              </w:rPr>
              <w:t xml:space="preserve">Intereses Comisiones </w:t>
            </w:r>
            <w:r>
              <w:rPr>
                <w:rFonts w:ascii="Arial" w:hAnsi="Arial" w:cs="Arial"/>
                <w:sz w:val="16"/>
                <w:szCs w:val="16"/>
              </w:rPr>
              <w:t>y</w:t>
            </w:r>
            <w:r w:rsidRPr="005272EC">
              <w:rPr>
                <w:rFonts w:ascii="Arial" w:hAnsi="Arial" w:cs="Arial"/>
                <w:sz w:val="16"/>
                <w:szCs w:val="16"/>
              </w:rPr>
              <w:t xml:space="preserve"> Otr</w:t>
            </w:r>
            <w:r>
              <w:rPr>
                <w:rFonts w:ascii="Arial" w:hAnsi="Arial" w:cs="Arial"/>
                <w:sz w:val="16"/>
                <w:szCs w:val="16"/>
              </w:rPr>
              <w:t>o</w:t>
            </w:r>
            <w:r w:rsidRPr="005272EC">
              <w:rPr>
                <w:rFonts w:ascii="Arial" w:hAnsi="Arial" w:cs="Arial"/>
                <w:sz w:val="16"/>
                <w:szCs w:val="16"/>
              </w:rPr>
              <w:t>s G</w:t>
            </w:r>
            <w:r>
              <w:rPr>
                <w:rFonts w:ascii="Arial" w:hAnsi="Arial" w:cs="Arial"/>
                <w:sz w:val="16"/>
                <w:szCs w:val="16"/>
              </w:rPr>
              <w:t>asto</w:t>
            </w:r>
            <w:r w:rsidRPr="005272EC">
              <w:rPr>
                <w:rFonts w:ascii="Arial" w:hAnsi="Arial" w:cs="Arial"/>
                <w:sz w:val="16"/>
                <w:szCs w:val="16"/>
              </w:rPr>
              <w:t xml:space="preserve">s </w:t>
            </w:r>
            <w:r>
              <w:rPr>
                <w:rFonts w:ascii="Arial" w:hAnsi="Arial" w:cs="Arial"/>
                <w:sz w:val="16"/>
                <w:szCs w:val="16"/>
              </w:rPr>
              <w:t xml:space="preserve">por </w:t>
            </w:r>
            <w:r w:rsidRPr="005272EC">
              <w:rPr>
                <w:rFonts w:ascii="Arial" w:hAnsi="Arial" w:cs="Arial"/>
                <w:sz w:val="16"/>
                <w:szCs w:val="16"/>
              </w:rPr>
              <w:t>Pag</w:t>
            </w:r>
            <w:r>
              <w:rPr>
                <w:rFonts w:ascii="Arial" w:hAnsi="Arial" w:cs="Arial"/>
                <w:sz w:val="16"/>
                <w:szCs w:val="16"/>
              </w:rPr>
              <w:t>a</w:t>
            </w:r>
            <w:r w:rsidRPr="005272EC">
              <w:rPr>
                <w:rFonts w:ascii="Arial" w:hAnsi="Arial" w:cs="Arial"/>
                <w:sz w:val="16"/>
                <w:szCs w:val="16"/>
              </w:rPr>
              <w:t xml:space="preserve">r </w:t>
            </w:r>
            <w:r>
              <w:rPr>
                <w:rFonts w:ascii="Arial" w:hAnsi="Arial" w:cs="Arial"/>
                <w:sz w:val="16"/>
                <w:szCs w:val="16"/>
              </w:rPr>
              <w:t xml:space="preserve">a </w:t>
            </w:r>
            <w:r w:rsidRPr="005272EC">
              <w:rPr>
                <w:rFonts w:ascii="Arial" w:hAnsi="Arial" w:cs="Arial"/>
                <w:sz w:val="16"/>
                <w:szCs w:val="16"/>
              </w:rPr>
              <w:t>Corto Plazo</w:t>
            </w:r>
          </w:p>
        </w:tc>
        <w:tc>
          <w:tcPr>
            <w:tcW w:w="765" w:type="pct"/>
            <w:tcBorders>
              <w:top w:val="nil"/>
              <w:left w:val="nil"/>
              <w:bottom w:val="single" w:sz="4" w:space="0" w:color="auto"/>
              <w:right w:val="single" w:sz="4" w:space="0" w:color="auto"/>
            </w:tcBorders>
            <w:shd w:val="clear" w:color="auto" w:fill="auto"/>
            <w:vAlign w:val="center"/>
            <w:hideMark/>
          </w:tcPr>
          <w:p w14:paraId="6D85CB02"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765" w:type="pct"/>
            <w:tcBorders>
              <w:top w:val="nil"/>
              <w:left w:val="nil"/>
              <w:bottom w:val="single" w:sz="4" w:space="0" w:color="auto"/>
              <w:right w:val="single" w:sz="4" w:space="0" w:color="auto"/>
            </w:tcBorders>
            <w:shd w:val="clear" w:color="auto" w:fill="auto"/>
            <w:vAlign w:val="center"/>
            <w:hideMark/>
          </w:tcPr>
          <w:p w14:paraId="40C9F168"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nil"/>
              <w:left w:val="nil"/>
              <w:bottom w:val="single" w:sz="4" w:space="0" w:color="auto"/>
              <w:right w:val="single" w:sz="4" w:space="0" w:color="auto"/>
            </w:tcBorders>
            <w:shd w:val="clear" w:color="auto" w:fill="auto"/>
            <w:vAlign w:val="center"/>
            <w:hideMark/>
          </w:tcPr>
          <w:p w14:paraId="1E3EE8FE"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nil"/>
              <w:left w:val="nil"/>
              <w:bottom w:val="single" w:sz="4" w:space="0" w:color="auto"/>
              <w:right w:val="single" w:sz="4" w:space="0" w:color="auto"/>
            </w:tcBorders>
            <w:shd w:val="clear" w:color="auto" w:fill="auto"/>
            <w:vAlign w:val="center"/>
            <w:hideMark/>
          </w:tcPr>
          <w:p w14:paraId="6E7D1350"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4" w:type="pct"/>
            <w:tcBorders>
              <w:top w:val="nil"/>
              <w:left w:val="nil"/>
              <w:bottom w:val="single" w:sz="4" w:space="0" w:color="auto"/>
              <w:right w:val="single" w:sz="4" w:space="0" w:color="auto"/>
            </w:tcBorders>
            <w:shd w:val="clear" w:color="auto" w:fill="auto"/>
            <w:vAlign w:val="center"/>
            <w:hideMark/>
          </w:tcPr>
          <w:p w14:paraId="4F5AE95C"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r>
      <w:tr w:rsidR="005272EC" w:rsidRPr="005272EC" w14:paraId="72FAF02D" w14:textId="77777777" w:rsidTr="005272EC">
        <w:trPr>
          <w:trHeight w:val="394"/>
        </w:trPr>
        <w:tc>
          <w:tcPr>
            <w:tcW w:w="1564" w:type="pct"/>
            <w:tcBorders>
              <w:top w:val="nil"/>
              <w:left w:val="single" w:sz="4" w:space="0" w:color="auto"/>
              <w:bottom w:val="single" w:sz="4" w:space="0" w:color="auto"/>
              <w:right w:val="single" w:sz="4" w:space="0" w:color="auto"/>
            </w:tcBorders>
            <w:shd w:val="clear" w:color="auto" w:fill="auto"/>
            <w:vAlign w:val="center"/>
            <w:hideMark/>
          </w:tcPr>
          <w:p w14:paraId="2C2AFAB4" w14:textId="15D4E9C2" w:rsidR="005272EC" w:rsidRPr="005272EC" w:rsidRDefault="005272EC" w:rsidP="005272EC">
            <w:pPr>
              <w:rPr>
                <w:rFonts w:ascii="Arial" w:hAnsi="Arial" w:cs="Arial"/>
                <w:sz w:val="16"/>
                <w:szCs w:val="16"/>
              </w:rPr>
            </w:pPr>
            <w:r w:rsidRPr="005272EC">
              <w:rPr>
                <w:rFonts w:ascii="Arial" w:hAnsi="Arial" w:cs="Arial"/>
                <w:sz w:val="16"/>
                <w:szCs w:val="16"/>
              </w:rPr>
              <w:t xml:space="preserve">Retenciones </w:t>
            </w:r>
            <w:r>
              <w:rPr>
                <w:rFonts w:ascii="Arial" w:hAnsi="Arial" w:cs="Arial"/>
                <w:sz w:val="16"/>
                <w:szCs w:val="16"/>
              </w:rPr>
              <w:t>y</w:t>
            </w:r>
            <w:r w:rsidRPr="005272EC">
              <w:rPr>
                <w:rFonts w:ascii="Arial" w:hAnsi="Arial" w:cs="Arial"/>
                <w:sz w:val="16"/>
                <w:szCs w:val="16"/>
              </w:rPr>
              <w:t xml:space="preserve"> Contribuciones </w:t>
            </w:r>
            <w:r>
              <w:rPr>
                <w:rFonts w:ascii="Arial" w:hAnsi="Arial" w:cs="Arial"/>
                <w:sz w:val="16"/>
                <w:szCs w:val="16"/>
              </w:rPr>
              <w:t>p</w:t>
            </w:r>
            <w:r w:rsidRPr="005272EC">
              <w:rPr>
                <w:rFonts w:ascii="Arial" w:hAnsi="Arial" w:cs="Arial"/>
                <w:sz w:val="16"/>
                <w:szCs w:val="16"/>
              </w:rPr>
              <w:t xml:space="preserve">or Pagar </w:t>
            </w:r>
            <w:r>
              <w:rPr>
                <w:rFonts w:ascii="Arial" w:hAnsi="Arial" w:cs="Arial"/>
                <w:sz w:val="16"/>
                <w:szCs w:val="16"/>
              </w:rPr>
              <w:t xml:space="preserve">a </w:t>
            </w:r>
            <w:r w:rsidRPr="005272EC">
              <w:rPr>
                <w:rFonts w:ascii="Arial" w:hAnsi="Arial" w:cs="Arial"/>
                <w:sz w:val="16"/>
                <w:szCs w:val="16"/>
              </w:rPr>
              <w:t>Corto Plazo</w:t>
            </w:r>
          </w:p>
        </w:tc>
        <w:tc>
          <w:tcPr>
            <w:tcW w:w="765" w:type="pct"/>
            <w:tcBorders>
              <w:top w:val="nil"/>
              <w:left w:val="nil"/>
              <w:bottom w:val="single" w:sz="4" w:space="0" w:color="auto"/>
              <w:right w:val="single" w:sz="4" w:space="0" w:color="auto"/>
            </w:tcBorders>
            <w:shd w:val="clear" w:color="auto" w:fill="auto"/>
            <w:vAlign w:val="center"/>
            <w:hideMark/>
          </w:tcPr>
          <w:p w14:paraId="07E088C3"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879,171</w:t>
            </w:r>
          </w:p>
        </w:tc>
        <w:tc>
          <w:tcPr>
            <w:tcW w:w="765" w:type="pct"/>
            <w:tcBorders>
              <w:top w:val="nil"/>
              <w:left w:val="nil"/>
              <w:bottom w:val="single" w:sz="4" w:space="0" w:color="auto"/>
              <w:right w:val="single" w:sz="4" w:space="0" w:color="auto"/>
            </w:tcBorders>
            <w:shd w:val="clear" w:color="auto" w:fill="auto"/>
            <w:vAlign w:val="center"/>
            <w:hideMark/>
          </w:tcPr>
          <w:p w14:paraId="4BEB4B40"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879,171</w:t>
            </w:r>
          </w:p>
        </w:tc>
        <w:tc>
          <w:tcPr>
            <w:tcW w:w="636" w:type="pct"/>
            <w:tcBorders>
              <w:top w:val="nil"/>
              <w:left w:val="nil"/>
              <w:bottom w:val="single" w:sz="4" w:space="0" w:color="auto"/>
              <w:right w:val="single" w:sz="4" w:space="0" w:color="auto"/>
            </w:tcBorders>
            <w:shd w:val="clear" w:color="auto" w:fill="auto"/>
            <w:vAlign w:val="center"/>
            <w:hideMark/>
          </w:tcPr>
          <w:p w14:paraId="1CB2A8C0"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nil"/>
              <w:left w:val="nil"/>
              <w:bottom w:val="single" w:sz="4" w:space="0" w:color="auto"/>
              <w:right w:val="single" w:sz="4" w:space="0" w:color="auto"/>
            </w:tcBorders>
            <w:shd w:val="clear" w:color="auto" w:fill="auto"/>
            <w:vAlign w:val="center"/>
            <w:hideMark/>
          </w:tcPr>
          <w:p w14:paraId="0D0080B4"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4" w:type="pct"/>
            <w:tcBorders>
              <w:top w:val="nil"/>
              <w:left w:val="nil"/>
              <w:bottom w:val="single" w:sz="4" w:space="0" w:color="auto"/>
              <w:right w:val="single" w:sz="4" w:space="0" w:color="auto"/>
            </w:tcBorders>
            <w:shd w:val="clear" w:color="auto" w:fill="auto"/>
            <w:vAlign w:val="center"/>
            <w:hideMark/>
          </w:tcPr>
          <w:p w14:paraId="675640A5"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r>
      <w:tr w:rsidR="005272EC" w:rsidRPr="005272EC" w14:paraId="047989A7" w14:textId="77777777" w:rsidTr="005272EC">
        <w:trPr>
          <w:trHeight w:val="394"/>
        </w:trPr>
        <w:tc>
          <w:tcPr>
            <w:tcW w:w="1564" w:type="pct"/>
            <w:tcBorders>
              <w:top w:val="nil"/>
              <w:left w:val="single" w:sz="4" w:space="0" w:color="auto"/>
              <w:bottom w:val="nil"/>
              <w:right w:val="single" w:sz="4" w:space="0" w:color="auto"/>
            </w:tcBorders>
            <w:shd w:val="clear" w:color="auto" w:fill="auto"/>
            <w:vAlign w:val="center"/>
            <w:hideMark/>
          </w:tcPr>
          <w:p w14:paraId="1FDCE051" w14:textId="5CBA7C22" w:rsidR="005272EC" w:rsidRPr="005272EC" w:rsidRDefault="005272EC" w:rsidP="005272EC">
            <w:pPr>
              <w:rPr>
                <w:rFonts w:ascii="Arial" w:hAnsi="Arial" w:cs="Arial"/>
                <w:sz w:val="16"/>
                <w:szCs w:val="16"/>
              </w:rPr>
            </w:pPr>
            <w:r w:rsidRPr="005272EC">
              <w:rPr>
                <w:rFonts w:ascii="Arial" w:hAnsi="Arial" w:cs="Arial"/>
                <w:sz w:val="16"/>
                <w:szCs w:val="16"/>
              </w:rPr>
              <w:t xml:space="preserve">Otras Cuentas </w:t>
            </w:r>
            <w:r>
              <w:rPr>
                <w:rFonts w:ascii="Arial" w:hAnsi="Arial" w:cs="Arial"/>
                <w:sz w:val="16"/>
                <w:szCs w:val="16"/>
              </w:rPr>
              <w:t>p</w:t>
            </w:r>
            <w:r w:rsidRPr="005272EC">
              <w:rPr>
                <w:rFonts w:ascii="Arial" w:hAnsi="Arial" w:cs="Arial"/>
                <w:sz w:val="16"/>
                <w:szCs w:val="16"/>
              </w:rPr>
              <w:t xml:space="preserve">or Pagar </w:t>
            </w:r>
            <w:r>
              <w:rPr>
                <w:rFonts w:ascii="Arial" w:hAnsi="Arial" w:cs="Arial"/>
                <w:sz w:val="16"/>
                <w:szCs w:val="16"/>
              </w:rPr>
              <w:t>a</w:t>
            </w:r>
            <w:r w:rsidRPr="005272EC">
              <w:rPr>
                <w:rFonts w:ascii="Arial" w:hAnsi="Arial" w:cs="Arial"/>
                <w:sz w:val="16"/>
                <w:szCs w:val="16"/>
              </w:rPr>
              <w:t xml:space="preserve"> Corto Plazo</w:t>
            </w:r>
          </w:p>
        </w:tc>
        <w:tc>
          <w:tcPr>
            <w:tcW w:w="765" w:type="pct"/>
            <w:tcBorders>
              <w:top w:val="nil"/>
              <w:left w:val="nil"/>
              <w:bottom w:val="nil"/>
              <w:right w:val="single" w:sz="4" w:space="0" w:color="auto"/>
            </w:tcBorders>
            <w:shd w:val="clear" w:color="auto" w:fill="auto"/>
            <w:vAlign w:val="center"/>
            <w:hideMark/>
          </w:tcPr>
          <w:p w14:paraId="7796418A"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170,000</w:t>
            </w:r>
          </w:p>
        </w:tc>
        <w:tc>
          <w:tcPr>
            <w:tcW w:w="765" w:type="pct"/>
            <w:tcBorders>
              <w:top w:val="nil"/>
              <w:left w:val="nil"/>
              <w:bottom w:val="nil"/>
              <w:right w:val="single" w:sz="4" w:space="0" w:color="auto"/>
            </w:tcBorders>
            <w:shd w:val="clear" w:color="auto" w:fill="auto"/>
            <w:vAlign w:val="center"/>
            <w:hideMark/>
          </w:tcPr>
          <w:p w14:paraId="5A5D3B39"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170,000</w:t>
            </w:r>
          </w:p>
        </w:tc>
        <w:tc>
          <w:tcPr>
            <w:tcW w:w="636" w:type="pct"/>
            <w:tcBorders>
              <w:top w:val="nil"/>
              <w:left w:val="nil"/>
              <w:bottom w:val="nil"/>
              <w:right w:val="single" w:sz="4" w:space="0" w:color="auto"/>
            </w:tcBorders>
            <w:shd w:val="clear" w:color="auto" w:fill="auto"/>
            <w:vAlign w:val="center"/>
            <w:hideMark/>
          </w:tcPr>
          <w:p w14:paraId="45B5EFB8"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6" w:type="pct"/>
            <w:tcBorders>
              <w:top w:val="nil"/>
              <w:left w:val="nil"/>
              <w:bottom w:val="nil"/>
              <w:right w:val="single" w:sz="4" w:space="0" w:color="auto"/>
            </w:tcBorders>
            <w:shd w:val="clear" w:color="auto" w:fill="auto"/>
            <w:vAlign w:val="center"/>
            <w:hideMark/>
          </w:tcPr>
          <w:p w14:paraId="6FBA42E7"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c>
          <w:tcPr>
            <w:tcW w:w="634" w:type="pct"/>
            <w:tcBorders>
              <w:top w:val="nil"/>
              <w:left w:val="nil"/>
              <w:bottom w:val="nil"/>
              <w:right w:val="single" w:sz="4" w:space="0" w:color="auto"/>
            </w:tcBorders>
            <w:shd w:val="clear" w:color="auto" w:fill="auto"/>
            <w:vAlign w:val="center"/>
            <w:hideMark/>
          </w:tcPr>
          <w:p w14:paraId="57A588AF" w14:textId="77777777" w:rsidR="005272EC" w:rsidRPr="005272EC" w:rsidRDefault="005272EC" w:rsidP="005272EC">
            <w:pPr>
              <w:jc w:val="right"/>
              <w:rPr>
                <w:rFonts w:ascii="Arial" w:hAnsi="Arial" w:cs="Arial"/>
                <w:sz w:val="16"/>
                <w:szCs w:val="16"/>
              </w:rPr>
            </w:pPr>
            <w:r w:rsidRPr="005272EC">
              <w:rPr>
                <w:rFonts w:ascii="Arial" w:hAnsi="Arial" w:cs="Arial"/>
                <w:sz w:val="16"/>
                <w:szCs w:val="16"/>
              </w:rPr>
              <w:t>0</w:t>
            </w:r>
          </w:p>
        </w:tc>
      </w:tr>
      <w:tr w:rsidR="005272EC" w:rsidRPr="005272EC" w14:paraId="07E5C463" w14:textId="77777777" w:rsidTr="005272EC">
        <w:trPr>
          <w:trHeight w:val="232"/>
        </w:trPr>
        <w:tc>
          <w:tcPr>
            <w:tcW w:w="15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28A9C" w14:textId="77777777" w:rsidR="005272EC" w:rsidRPr="005272EC" w:rsidRDefault="005272EC" w:rsidP="005272EC">
            <w:pPr>
              <w:jc w:val="center"/>
              <w:rPr>
                <w:rFonts w:ascii="Arial" w:hAnsi="Arial" w:cs="Arial"/>
                <w:b/>
                <w:sz w:val="16"/>
                <w:szCs w:val="16"/>
              </w:rPr>
            </w:pPr>
            <w:r w:rsidRPr="005272EC">
              <w:rPr>
                <w:rFonts w:ascii="Arial" w:hAnsi="Arial" w:cs="Arial"/>
                <w:b/>
                <w:sz w:val="16"/>
                <w:szCs w:val="16"/>
              </w:rPr>
              <w:t>Totales</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07AC4C55" w14:textId="77777777" w:rsidR="005272EC" w:rsidRPr="005272EC" w:rsidRDefault="005272EC" w:rsidP="005272EC">
            <w:pPr>
              <w:jc w:val="right"/>
              <w:rPr>
                <w:rFonts w:ascii="Arial" w:hAnsi="Arial" w:cs="Arial"/>
                <w:b/>
                <w:color w:val="000000"/>
                <w:sz w:val="16"/>
                <w:szCs w:val="16"/>
              </w:rPr>
            </w:pPr>
            <w:r w:rsidRPr="005272EC">
              <w:rPr>
                <w:rFonts w:ascii="Arial" w:hAnsi="Arial" w:cs="Arial"/>
                <w:b/>
                <w:color w:val="000000"/>
                <w:sz w:val="16"/>
                <w:szCs w:val="16"/>
              </w:rPr>
              <w:t>1,556,449</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77F8FB31" w14:textId="77777777" w:rsidR="005272EC" w:rsidRPr="005272EC" w:rsidRDefault="005272EC" w:rsidP="005272EC">
            <w:pPr>
              <w:jc w:val="right"/>
              <w:rPr>
                <w:rFonts w:ascii="Arial" w:hAnsi="Arial" w:cs="Arial"/>
                <w:b/>
                <w:color w:val="000000"/>
                <w:sz w:val="16"/>
                <w:szCs w:val="16"/>
              </w:rPr>
            </w:pPr>
            <w:r w:rsidRPr="005272EC">
              <w:rPr>
                <w:rFonts w:ascii="Arial" w:hAnsi="Arial" w:cs="Arial"/>
                <w:b/>
                <w:color w:val="000000"/>
                <w:sz w:val="16"/>
                <w:szCs w:val="16"/>
              </w:rPr>
              <w:t>1,375,241</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14:paraId="25C98E59" w14:textId="77777777" w:rsidR="005272EC" w:rsidRPr="005272EC" w:rsidRDefault="005272EC" w:rsidP="005272EC">
            <w:pPr>
              <w:jc w:val="right"/>
              <w:rPr>
                <w:rFonts w:ascii="Arial" w:hAnsi="Arial" w:cs="Arial"/>
                <w:b/>
                <w:color w:val="000000"/>
                <w:sz w:val="16"/>
                <w:szCs w:val="16"/>
              </w:rPr>
            </w:pPr>
            <w:r w:rsidRPr="005272EC">
              <w:rPr>
                <w:rFonts w:ascii="Arial" w:hAnsi="Arial" w:cs="Arial"/>
                <w:b/>
                <w:color w:val="000000"/>
                <w:sz w:val="16"/>
                <w:szCs w:val="16"/>
              </w:rPr>
              <w:t>54,775</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14:paraId="4066B670" w14:textId="77777777" w:rsidR="005272EC" w:rsidRPr="005272EC" w:rsidRDefault="005272EC" w:rsidP="005272EC">
            <w:pPr>
              <w:jc w:val="right"/>
              <w:rPr>
                <w:rFonts w:ascii="Arial" w:hAnsi="Arial" w:cs="Arial"/>
                <w:b/>
                <w:color w:val="000000"/>
                <w:sz w:val="16"/>
                <w:szCs w:val="16"/>
              </w:rPr>
            </w:pPr>
            <w:r w:rsidRPr="005272EC">
              <w:rPr>
                <w:rFonts w:ascii="Arial" w:hAnsi="Arial" w:cs="Arial"/>
                <w:b/>
                <w:color w:val="000000"/>
                <w:sz w:val="16"/>
                <w:szCs w:val="16"/>
              </w:rPr>
              <w:t>33,684</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3F71B2D1" w14:textId="77777777" w:rsidR="005272EC" w:rsidRPr="005272EC" w:rsidRDefault="005272EC" w:rsidP="005272EC">
            <w:pPr>
              <w:jc w:val="right"/>
              <w:rPr>
                <w:rFonts w:ascii="Arial" w:hAnsi="Arial" w:cs="Arial"/>
                <w:b/>
                <w:color w:val="000000"/>
                <w:sz w:val="16"/>
                <w:szCs w:val="16"/>
              </w:rPr>
            </w:pPr>
            <w:r w:rsidRPr="005272EC">
              <w:rPr>
                <w:rFonts w:ascii="Arial" w:hAnsi="Arial" w:cs="Arial"/>
                <w:b/>
                <w:color w:val="000000"/>
                <w:sz w:val="16"/>
                <w:szCs w:val="16"/>
              </w:rPr>
              <w:t>92,749</w:t>
            </w:r>
          </w:p>
        </w:tc>
      </w:tr>
    </w:tbl>
    <w:p w14:paraId="349B2ECB" w14:textId="77777777" w:rsidR="005272EC" w:rsidRDefault="005272EC" w:rsidP="00EE21AE">
      <w:pPr>
        <w:spacing w:after="120" w:line="360" w:lineRule="auto"/>
        <w:jc w:val="center"/>
        <w:rPr>
          <w:rFonts w:ascii="Arial" w:hAnsi="Arial" w:cs="Arial"/>
          <w:sz w:val="20"/>
          <w:szCs w:val="20"/>
        </w:rPr>
      </w:pPr>
    </w:p>
    <w:p w14:paraId="405EFF7B" w14:textId="77777777" w:rsidR="005272EC" w:rsidRDefault="005272EC" w:rsidP="00EE21AE">
      <w:pPr>
        <w:spacing w:after="120" w:line="360" w:lineRule="auto"/>
        <w:jc w:val="center"/>
        <w:rPr>
          <w:rFonts w:ascii="Arial" w:hAnsi="Arial" w:cs="Arial"/>
          <w:sz w:val="20"/>
          <w:szCs w:val="20"/>
        </w:rPr>
      </w:pPr>
    </w:p>
    <w:p w14:paraId="04EF4CEB" w14:textId="77777777" w:rsidR="005272EC" w:rsidRPr="00933A23" w:rsidRDefault="005272EC" w:rsidP="00EE21AE">
      <w:pPr>
        <w:spacing w:after="120" w:line="360" w:lineRule="auto"/>
        <w:jc w:val="center"/>
        <w:rPr>
          <w:rFonts w:ascii="Arial" w:hAnsi="Arial" w:cs="Arial"/>
          <w:sz w:val="20"/>
          <w:szCs w:val="20"/>
        </w:rPr>
      </w:pPr>
    </w:p>
    <w:p w14:paraId="1E61781A" w14:textId="77777777" w:rsidR="00933A23" w:rsidRDefault="00933A23" w:rsidP="00926E59">
      <w:pPr>
        <w:autoSpaceDE w:val="0"/>
        <w:autoSpaceDN w:val="0"/>
        <w:adjustRightInd w:val="0"/>
        <w:spacing w:before="80" w:line="360" w:lineRule="auto"/>
        <w:jc w:val="both"/>
        <w:rPr>
          <w:rFonts w:ascii="Arial" w:hAnsi="Arial" w:cs="Arial"/>
          <w:sz w:val="20"/>
          <w:szCs w:val="20"/>
        </w:rPr>
      </w:pPr>
    </w:p>
    <w:p w14:paraId="38EBB917" w14:textId="598CD45D" w:rsidR="00BE67F7" w:rsidRPr="00933A23" w:rsidRDefault="00BE67F7" w:rsidP="00BE67F7">
      <w:pPr>
        <w:spacing w:after="120" w:line="360" w:lineRule="auto"/>
        <w:jc w:val="center"/>
        <w:rPr>
          <w:rFonts w:ascii="Arial" w:hAnsi="Arial" w:cs="Arial"/>
          <w:b/>
          <w:sz w:val="20"/>
          <w:szCs w:val="20"/>
        </w:rPr>
      </w:pPr>
      <w:r w:rsidRPr="00933A23">
        <w:rPr>
          <w:rFonts w:ascii="Arial" w:hAnsi="Arial" w:cs="Arial"/>
          <w:b/>
          <w:sz w:val="20"/>
          <w:szCs w:val="20"/>
        </w:rPr>
        <w:t>NOTAS AL ESTADO DE ACTIVIDADES</w:t>
      </w:r>
    </w:p>
    <w:p w14:paraId="38EBB918" w14:textId="06C3370F" w:rsidR="00BE67F7" w:rsidRPr="00933A23" w:rsidRDefault="00F86C81" w:rsidP="00BE67F7">
      <w:pPr>
        <w:spacing w:line="360" w:lineRule="auto"/>
        <w:jc w:val="both"/>
        <w:rPr>
          <w:rFonts w:ascii="Arial" w:hAnsi="Arial" w:cs="Arial"/>
          <w:b/>
          <w:sz w:val="20"/>
          <w:szCs w:val="20"/>
        </w:rPr>
      </w:pPr>
      <w:r w:rsidRPr="00933A23">
        <w:rPr>
          <w:rFonts w:ascii="Arial" w:hAnsi="Arial" w:cs="Arial"/>
          <w:b/>
          <w:sz w:val="20"/>
          <w:szCs w:val="20"/>
        </w:rPr>
        <w:t>Ingresos de Gestión</w:t>
      </w:r>
    </w:p>
    <w:p w14:paraId="0A23E0BE" w14:textId="77777777" w:rsidR="00F86C81" w:rsidRPr="00933A23" w:rsidRDefault="00F86C81" w:rsidP="00BE67F7">
      <w:pPr>
        <w:spacing w:line="360" w:lineRule="auto"/>
        <w:jc w:val="both"/>
        <w:rPr>
          <w:rFonts w:ascii="Arial" w:hAnsi="Arial" w:cs="Arial"/>
          <w:sz w:val="20"/>
          <w:szCs w:val="20"/>
        </w:rPr>
      </w:pPr>
    </w:p>
    <w:p w14:paraId="1F55893F" w14:textId="62E321CF" w:rsidR="005B2031" w:rsidRPr="00933A23" w:rsidRDefault="00381700" w:rsidP="00BE67F7">
      <w:pPr>
        <w:spacing w:line="360" w:lineRule="auto"/>
        <w:jc w:val="both"/>
        <w:rPr>
          <w:rFonts w:ascii="Arial" w:hAnsi="Arial" w:cs="Arial"/>
          <w:sz w:val="20"/>
          <w:szCs w:val="20"/>
        </w:rPr>
      </w:pPr>
      <w:r w:rsidRPr="00933A23">
        <w:rPr>
          <w:rFonts w:ascii="Arial" w:hAnsi="Arial" w:cs="Arial"/>
          <w:sz w:val="20"/>
          <w:szCs w:val="20"/>
        </w:rPr>
        <w:t>L</w:t>
      </w:r>
      <w:r w:rsidR="0057730F" w:rsidRPr="00933A23">
        <w:rPr>
          <w:rFonts w:ascii="Arial" w:hAnsi="Arial" w:cs="Arial"/>
          <w:sz w:val="20"/>
          <w:szCs w:val="20"/>
        </w:rPr>
        <w:t>os Ingresos de gestión</w:t>
      </w:r>
      <w:r w:rsidRPr="00933A23">
        <w:rPr>
          <w:rFonts w:ascii="Arial" w:hAnsi="Arial" w:cs="Arial"/>
          <w:sz w:val="20"/>
          <w:szCs w:val="20"/>
        </w:rPr>
        <w:t>, registraron un</w:t>
      </w:r>
      <w:r w:rsidR="007C3009">
        <w:rPr>
          <w:rFonts w:ascii="Arial" w:hAnsi="Arial" w:cs="Arial"/>
          <w:sz w:val="20"/>
          <w:szCs w:val="20"/>
        </w:rPr>
        <w:t xml:space="preserve">a disminución del </w:t>
      </w:r>
      <w:r w:rsidR="00C75377">
        <w:rPr>
          <w:rFonts w:ascii="Arial" w:hAnsi="Arial" w:cs="Arial"/>
          <w:sz w:val="20"/>
          <w:szCs w:val="20"/>
        </w:rPr>
        <w:t>13.6</w:t>
      </w:r>
      <w:r w:rsidR="007C3009">
        <w:rPr>
          <w:rFonts w:ascii="Arial" w:hAnsi="Arial" w:cs="Arial"/>
          <w:sz w:val="20"/>
          <w:szCs w:val="20"/>
        </w:rPr>
        <w:t xml:space="preserve">% respecto </w:t>
      </w:r>
      <w:r w:rsidR="007C3009" w:rsidRPr="00933A23">
        <w:rPr>
          <w:rFonts w:ascii="Arial" w:hAnsi="Arial" w:cs="Arial"/>
          <w:sz w:val="20"/>
          <w:szCs w:val="20"/>
        </w:rPr>
        <w:t>del</w:t>
      </w:r>
      <w:r w:rsidRPr="00933A23">
        <w:rPr>
          <w:rFonts w:ascii="Arial" w:hAnsi="Arial" w:cs="Arial"/>
          <w:sz w:val="20"/>
          <w:szCs w:val="20"/>
        </w:rPr>
        <w:t xml:space="preserve"> ejercicio anterior, </w:t>
      </w:r>
      <w:r w:rsidR="00704E92" w:rsidRPr="00933A23">
        <w:rPr>
          <w:rFonts w:ascii="Arial" w:hAnsi="Arial" w:cs="Arial"/>
          <w:sz w:val="20"/>
          <w:szCs w:val="20"/>
        </w:rPr>
        <w:t xml:space="preserve">siendo el rubro de impuestos </w:t>
      </w:r>
      <w:r w:rsidR="007C3009">
        <w:rPr>
          <w:rFonts w:ascii="Arial" w:hAnsi="Arial" w:cs="Arial"/>
          <w:sz w:val="20"/>
          <w:szCs w:val="20"/>
        </w:rPr>
        <w:t>el que experimento una disminución</w:t>
      </w:r>
      <w:r w:rsidR="00C75377">
        <w:rPr>
          <w:rFonts w:ascii="Arial" w:hAnsi="Arial" w:cs="Arial"/>
          <w:sz w:val="20"/>
          <w:szCs w:val="20"/>
        </w:rPr>
        <w:t xml:space="preserve"> mayor</w:t>
      </w:r>
      <w:r w:rsidR="007662AD">
        <w:rPr>
          <w:rFonts w:ascii="Arial" w:hAnsi="Arial" w:cs="Arial"/>
          <w:sz w:val="20"/>
          <w:szCs w:val="20"/>
        </w:rPr>
        <w:t xml:space="preserve"> de </w:t>
      </w:r>
      <w:r w:rsidR="00C75377">
        <w:rPr>
          <w:rFonts w:ascii="Arial" w:hAnsi="Arial" w:cs="Arial"/>
          <w:sz w:val="20"/>
          <w:szCs w:val="20"/>
        </w:rPr>
        <w:t>293</w:t>
      </w:r>
      <w:r w:rsidR="007662AD">
        <w:rPr>
          <w:rFonts w:ascii="Arial" w:hAnsi="Arial" w:cs="Arial"/>
          <w:sz w:val="20"/>
          <w:szCs w:val="20"/>
        </w:rPr>
        <w:t>,</w:t>
      </w:r>
      <w:r w:rsidR="00C75377">
        <w:rPr>
          <w:rFonts w:ascii="Arial" w:hAnsi="Arial" w:cs="Arial"/>
          <w:sz w:val="20"/>
          <w:szCs w:val="20"/>
        </w:rPr>
        <w:t>072</w:t>
      </w:r>
      <w:r w:rsidR="00704E92" w:rsidRPr="00933A23">
        <w:rPr>
          <w:rFonts w:ascii="Arial" w:hAnsi="Arial" w:cs="Arial"/>
          <w:sz w:val="20"/>
          <w:szCs w:val="20"/>
        </w:rPr>
        <w:t xml:space="preserve"> miles </w:t>
      </w:r>
      <w:r w:rsidR="007662AD">
        <w:rPr>
          <w:rFonts w:ascii="Arial" w:hAnsi="Arial" w:cs="Arial"/>
          <w:sz w:val="20"/>
          <w:szCs w:val="20"/>
        </w:rPr>
        <w:t xml:space="preserve">de pesos, que equivale a un </w:t>
      </w:r>
      <w:r w:rsidR="00C75377">
        <w:rPr>
          <w:rFonts w:ascii="Arial" w:hAnsi="Arial" w:cs="Arial"/>
          <w:sz w:val="20"/>
          <w:szCs w:val="20"/>
        </w:rPr>
        <w:t>19.7</w:t>
      </w:r>
      <w:r w:rsidR="007662AD">
        <w:rPr>
          <w:rFonts w:ascii="Arial" w:hAnsi="Arial" w:cs="Arial"/>
          <w:sz w:val="20"/>
          <w:szCs w:val="20"/>
        </w:rPr>
        <w:t>% menos,</w:t>
      </w:r>
      <w:r w:rsidR="00704E92" w:rsidRPr="00933A23">
        <w:rPr>
          <w:rFonts w:ascii="Arial" w:hAnsi="Arial" w:cs="Arial"/>
          <w:sz w:val="20"/>
          <w:szCs w:val="20"/>
        </w:rPr>
        <w:t xml:space="preserve"> respecto</w:t>
      </w:r>
      <w:r w:rsidR="007662AD">
        <w:rPr>
          <w:rFonts w:ascii="Arial" w:hAnsi="Arial" w:cs="Arial"/>
          <w:sz w:val="20"/>
          <w:szCs w:val="20"/>
        </w:rPr>
        <w:t xml:space="preserve"> del año </w:t>
      </w:r>
      <w:r w:rsidR="007662AD" w:rsidRPr="00933A23">
        <w:rPr>
          <w:rFonts w:ascii="Arial" w:hAnsi="Arial" w:cs="Arial"/>
          <w:sz w:val="20"/>
          <w:szCs w:val="20"/>
        </w:rPr>
        <w:t>anterior</w:t>
      </w:r>
      <w:r w:rsidR="00696C04">
        <w:rPr>
          <w:rFonts w:ascii="Arial" w:hAnsi="Arial" w:cs="Arial"/>
          <w:sz w:val="20"/>
          <w:szCs w:val="20"/>
        </w:rPr>
        <w:t>.</w:t>
      </w:r>
    </w:p>
    <w:p w14:paraId="65161729" w14:textId="77777777" w:rsidR="00056087" w:rsidRDefault="00056087" w:rsidP="00243BFB">
      <w:pPr>
        <w:spacing w:line="360" w:lineRule="auto"/>
        <w:jc w:val="both"/>
        <w:rPr>
          <w:rFonts w:ascii="Arial" w:hAnsi="Arial" w:cs="Arial"/>
          <w:sz w:val="20"/>
          <w:szCs w:val="20"/>
        </w:rPr>
      </w:pPr>
    </w:p>
    <w:p w14:paraId="4A5D7FA7" w14:textId="6D0F1603" w:rsidR="003D60B4" w:rsidRPr="00933A23" w:rsidRDefault="00F86C81" w:rsidP="00F86C81">
      <w:pPr>
        <w:spacing w:after="120" w:line="360" w:lineRule="auto"/>
        <w:jc w:val="both"/>
        <w:rPr>
          <w:rFonts w:ascii="Arial" w:hAnsi="Arial" w:cs="Arial"/>
          <w:b/>
          <w:sz w:val="20"/>
          <w:szCs w:val="20"/>
        </w:rPr>
      </w:pPr>
      <w:r w:rsidRPr="00933A23">
        <w:rPr>
          <w:rFonts w:ascii="Arial" w:hAnsi="Arial" w:cs="Arial"/>
          <w:b/>
          <w:sz w:val="20"/>
          <w:szCs w:val="20"/>
        </w:rPr>
        <w:t>Participaciones, Aportaciones, Transferencias, Asignaciones, Subsidios y Otras Ayudas</w:t>
      </w:r>
    </w:p>
    <w:p w14:paraId="1D718589" w14:textId="77777777" w:rsidR="00F86C81" w:rsidRPr="00933A23" w:rsidRDefault="00F86C81" w:rsidP="00F86C81">
      <w:pPr>
        <w:spacing w:line="360" w:lineRule="auto"/>
        <w:jc w:val="both"/>
        <w:rPr>
          <w:rFonts w:ascii="Arial" w:hAnsi="Arial" w:cs="Arial"/>
          <w:sz w:val="20"/>
          <w:szCs w:val="20"/>
        </w:rPr>
      </w:pPr>
    </w:p>
    <w:p w14:paraId="2230F064" w14:textId="0B5A2763" w:rsidR="00F86C81" w:rsidRPr="00933A23" w:rsidRDefault="00F86C81" w:rsidP="00F86C81">
      <w:pPr>
        <w:spacing w:line="360" w:lineRule="auto"/>
        <w:jc w:val="both"/>
        <w:rPr>
          <w:rFonts w:ascii="Arial" w:hAnsi="Arial" w:cs="Arial"/>
          <w:sz w:val="20"/>
          <w:szCs w:val="20"/>
        </w:rPr>
      </w:pPr>
      <w:r w:rsidRPr="00933A23">
        <w:rPr>
          <w:rFonts w:ascii="Arial" w:hAnsi="Arial" w:cs="Arial"/>
          <w:sz w:val="20"/>
          <w:szCs w:val="20"/>
        </w:rPr>
        <w:t>Comprenden los recursos recibidos para la ejecución de programas federales a través de las Entidades Federativas y los Municipios mediante la reasignación de responsabilidades y recursos presupuestarios, en los términos de los convenios que celebre el Estado con el Gobierno Federal.</w:t>
      </w:r>
    </w:p>
    <w:p w14:paraId="1CA5A768" w14:textId="77777777" w:rsidR="00F86C81" w:rsidRPr="00933A23" w:rsidRDefault="00F86C81" w:rsidP="00F86C81">
      <w:pPr>
        <w:spacing w:line="360" w:lineRule="auto"/>
        <w:jc w:val="both"/>
        <w:rPr>
          <w:rFonts w:ascii="Arial" w:hAnsi="Arial" w:cs="Arial"/>
          <w:sz w:val="20"/>
          <w:szCs w:val="20"/>
        </w:rPr>
      </w:pPr>
    </w:p>
    <w:p w14:paraId="103892DA" w14:textId="35591388" w:rsidR="00836168" w:rsidRDefault="00F86C81" w:rsidP="00F86C81">
      <w:pPr>
        <w:spacing w:line="360" w:lineRule="auto"/>
        <w:jc w:val="both"/>
        <w:rPr>
          <w:rFonts w:ascii="Arial" w:hAnsi="Arial" w:cs="Arial"/>
          <w:sz w:val="20"/>
          <w:szCs w:val="20"/>
        </w:rPr>
      </w:pPr>
      <w:r w:rsidRPr="00933A23">
        <w:rPr>
          <w:rFonts w:ascii="Arial" w:hAnsi="Arial" w:cs="Arial"/>
          <w:sz w:val="20"/>
          <w:szCs w:val="20"/>
        </w:rPr>
        <w:t>D</w:t>
      </w:r>
      <w:r w:rsidR="00BE67F7" w:rsidRPr="00933A23">
        <w:rPr>
          <w:rFonts w:ascii="Arial" w:hAnsi="Arial" w:cs="Arial"/>
          <w:sz w:val="20"/>
          <w:szCs w:val="20"/>
        </w:rPr>
        <w:t>e las transacciones en los Ingresos</w:t>
      </w:r>
      <w:r w:rsidR="00402BA2" w:rsidRPr="00933A23">
        <w:rPr>
          <w:rFonts w:ascii="Arial" w:hAnsi="Arial" w:cs="Arial"/>
          <w:sz w:val="20"/>
          <w:szCs w:val="20"/>
        </w:rPr>
        <w:t xml:space="preserve"> totales, </w:t>
      </w:r>
      <w:r w:rsidR="00BE67F7" w:rsidRPr="00933A23">
        <w:rPr>
          <w:rFonts w:ascii="Arial" w:hAnsi="Arial" w:cs="Arial"/>
          <w:sz w:val="20"/>
          <w:szCs w:val="20"/>
        </w:rPr>
        <w:t>inciden</w:t>
      </w:r>
      <w:r w:rsidR="001E6197" w:rsidRPr="00933A23">
        <w:rPr>
          <w:rFonts w:ascii="Arial" w:hAnsi="Arial" w:cs="Arial"/>
          <w:sz w:val="20"/>
          <w:szCs w:val="20"/>
        </w:rPr>
        <w:t xml:space="preserve"> </w:t>
      </w:r>
      <w:r w:rsidR="00402BA2" w:rsidRPr="00933A23">
        <w:rPr>
          <w:rFonts w:ascii="Arial" w:hAnsi="Arial" w:cs="Arial"/>
          <w:sz w:val="20"/>
          <w:szCs w:val="20"/>
        </w:rPr>
        <w:t>casi en su totalidad</w:t>
      </w:r>
      <w:r w:rsidR="00B426B6" w:rsidRPr="00933A23">
        <w:rPr>
          <w:rFonts w:ascii="Arial" w:hAnsi="Arial" w:cs="Arial"/>
          <w:sz w:val="20"/>
          <w:szCs w:val="20"/>
        </w:rPr>
        <w:t>,</w:t>
      </w:r>
      <w:r w:rsidR="009F1669">
        <w:rPr>
          <w:rFonts w:ascii="Arial" w:hAnsi="Arial" w:cs="Arial"/>
          <w:sz w:val="20"/>
          <w:szCs w:val="20"/>
        </w:rPr>
        <w:t xml:space="preserve"> con un 9</w:t>
      </w:r>
      <w:r w:rsidR="00060C9D">
        <w:rPr>
          <w:rFonts w:ascii="Arial" w:hAnsi="Arial" w:cs="Arial"/>
          <w:sz w:val="20"/>
          <w:szCs w:val="20"/>
        </w:rPr>
        <w:t>5</w:t>
      </w:r>
      <w:r w:rsidR="009F1669">
        <w:rPr>
          <w:rFonts w:ascii="Arial" w:hAnsi="Arial" w:cs="Arial"/>
          <w:sz w:val="20"/>
          <w:szCs w:val="20"/>
        </w:rPr>
        <w:t>.</w:t>
      </w:r>
      <w:r w:rsidR="00060C9D">
        <w:rPr>
          <w:rFonts w:ascii="Arial" w:hAnsi="Arial" w:cs="Arial"/>
          <w:sz w:val="20"/>
          <w:szCs w:val="20"/>
        </w:rPr>
        <w:t>5</w:t>
      </w:r>
      <w:r w:rsidR="00D2480A" w:rsidRPr="00933A23">
        <w:rPr>
          <w:rFonts w:ascii="Arial" w:hAnsi="Arial" w:cs="Arial"/>
          <w:sz w:val="20"/>
          <w:szCs w:val="20"/>
        </w:rPr>
        <w:t xml:space="preserve">% </w:t>
      </w:r>
      <w:r w:rsidR="00B426B6" w:rsidRPr="00933A23">
        <w:rPr>
          <w:rFonts w:ascii="Arial" w:hAnsi="Arial" w:cs="Arial"/>
          <w:sz w:val="20"/>
          <w:szCs w:val="20"/>
        </w:rPr>
        <w:t>las Participaciones,</w:t>
      </w:r>
      <w:r w:rsidR="00BE67F7" w:rsidRPr="00933A23">
        <w:rPr>
          <w:rFonts w:ascii="Arial" w:hAnsi="Arial" w:cs="Arial"/>
          <w:sz w:val="20"/>
          <w:szCs w:val="20"/>
        </w:rPr>
        <w:t xml:space="preserve"> Aportaciones y</w:t>
      </w:r>
      <w:r w:rsidR="00B426B6" w:rsidRPr="00933A23">
        <w:rPr>
          <w:sz w:val="20"/>
          <w:szCs w:val="20"/>
        </w:rPr>
        <w:t xml:space="preserve"> </w:t>
      </w:r>
      <w:r w:rsidR="00B426B6" w:rsidRPr="00933A23">
        <w:rPr>
          <w:rFonts w:ascii="Arial" w:hAnsi="Arial" w:cs="Arial"/>
          <w:sz w:val="20"/>
          <w:szCs w:val="20"/>
        </w:rPr>
        <w:t>Transferencias, Asignaciones, Subsidios y Otras Ayudas</w:t>
      </w:r>
      <w:r w:rsidR="00D2480A" w:rsidRPr="00933A23">
        <w:rPr>
          <w:rFonts w:ascii="Arial" w:hAnsi="Arial" w:cs="Arial"/>
          <w:sz w:val="20"/>
          <w:szCs w:val="20"/>
        </w:rPr>
        <w:t xml:space="preserve">, que </w:t>
      </w:r>
      <w:r w:rsidR="009F1669">
        <w:rPr>
          <w:rFonts w:ascii="Arial" w:hAnsi="Arial" w:cs="Arial"/>
          <w:sz w:val="20"/>
          <w:szCs w:val="20"/>
        </w:rPr>
        <w:t>observa un</w:t>
      </w:r>
      <w:r w:rsidR="00060C9D">
        <w:rPr>
          <w:rFonts w:ascii="Arial" w:hAnsi="Arial" w:cs="Arial"/>
          <w:sz w:val="20"/>
          <w:szCs w:val="20"/>
        </w:rPr>
        <w:t>a</w:t>
      </w:r>
      <w:r w:rsidR="009F1669">
        <w:rPr>
          <w:rFonts w:ascii="Arial" w:hAnsi="Arial" w:cs="Arial"/>
          <w:sz w:val="20"/>
          <w:szCs w:val="20"/>
        </w:rPr>
        <w:t xml:space="preserve"> </w:t>
      </w:r>
      <w:r w:rsidR="00060C9D">
        <w:rPr>
          <w:rFonts w:ascii="Arial" w:hAnsi="Arial" w:cs="Arial"/>
          <w:sz w:val="20"/>
          <w:szCs w:val="20"/>
        </w:rPr>
        <w:t xml:space="preserve">disminución </w:t>
      </w:r>
      <w:r w:rsidR="009F1669">
        <w:rPr>
          <w:rFonts w:ascii="Arial" w:hAnsi="Arial" w:cs="Arial"/>
          <w:sz w:val="20"/>
          <w:szCs w:val="20"/>
        </w:rPr>
        <w:t xml:space="preserve">del </w:t>
      </w:r>
      <w:r w:rsidR="00060C9D">
        <w:rPr>
          <w:rFonts w:ascii="Arial" w:hAnsi="Arial" w:cs="Arial"/>
          <w:sz w:val="20"/>
          <w:szCs w:val="20"/>
        </w:rPr>
        <w:t>25.8%</w:t>
      </w:r>
      <w:r w:rsidR="009F1669">
        <w:rPr>
          <w:rFonts w:ascii="Arial" w:hAnsi="Arial" w:cs="Arial"/>
          <w:sz w:val="20"/>
          <w:szCs w:val="20"/>
        </w:rPr>
        <w:t xml:space="preserve"> respecto del ejercicio 201</w:t>
      </w:r>
      <w:r w:rsidR="00060C9D">
        <w:rPr>
          <w:rFonts w:ascii="Arial" w:hAnsi="Arial" w:cs="Arial"/>
          <w:sz w:val="20"/>
          <w:szCs w:val="20"/>
        </w:rPr>
        <w:t>6</w:t>
      </w:r>
      <w:r w:rsidR="00D2480A" w:rsidRPr="00933A23">
        <w:rPr>
          <w:rFonts w:ascii="Arial" w:hAnsi="Arial" w:cs="Arial"/>
          <w:sz w:val="20"/>
          <w:szCs w:val="20"/>
        </w:rPr>
        <w:t>.</w:t>
      </w:r>
      <w:r w:rsidR="00BE67F7" w:rsidRPr="00933A23">
        <w:rPr>
          <w:rFonts w:ascii="Arial" w:hAnsi="Arial" w:cs="Arial"/>
          <w:sz w:val="20"/>
          <w:szCs w:val="20"/>
        </w:rPr>
        <w:t xml:space="preserve"> </w:t>
      </w:r>
    </w:p>
    <w:p w14:paraId="50598747" w14:textId="4C9EDB10" w:rsidR="00FC3884" w:rsidRPr="00933A23" w:rsidRDefault="00056087" w:rsidP="00056087">
      <w:pPr>
        <w:spacing w:line="360" w:lineRule="auto"/>
        <w:jc w:val="center"/>
        <w:rPr>
          <w:rFonts w:ascii="Arial" w:hAnsi="Arial" w:cs="Arial"/>
          <w:sz w:val="20"/>
          <w:szCs w:val="20"/>
        </w:rPr>
      </w:pPr>
      <w:r w:rsidRPr="00933A23">
        <w:rPr>
          <w:rFonts w:ascii="Arial" w:hAnsi="Arial" w:cs="Arial"/>
          <w:sz w:val="20"/>
          <w:szCs w:val="20"/>
        </w:rPr>
        <w:t>(Miles de Pesos)</w:t>
      </w:r>
    </w:p>
    <w:tbl>
      <w:tblPr>
        <w:tblW w:w="889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70" w:type="dxa"/>
          <w:right w:w="70" w:type="dxa"/>
        </w:tblCellMar>
        <w:tblLook w:val="04A0" w:firstRow="1" w:lastRow="0" w:firstColumn="1" w:lastColumn="0" w:noHBand="0" w:noVBand="1"/>
      </w:tblPr>
      <w:tblGrid>
        <w:gridCol w:w="3591"/>
        <w:gridCol w:w="1446"/>
        <w:gridCol w:w="1446"/>
        <w:gridCol w:w="1486"/>
        <w:gridCol w:w="926"/>
      </w:tblGrid>
      <w:tr w:rsidR="009650F5" w:rsidRPr="00933A23" w14:paraId="14820465" w14:textId="77777777" w:rsidTr="00056087">
        <w:trPr>
          <w:trHeight w:val="684"/>
        </w:trPr>
        <w:tc>
          <w:tcPr>
            <w:tcW w:w="3591" w:type="dxa"/>
            <w:tcBorders>
              <w:bottom w:val="single" w:sz="4" w:space="0" w:color="A6A6A6" w:themeColor="background1" w:themeShade="A6"/>
            </w:tcBorders>
            <w:shd w:val="clear" w:color="auto" w:fill="365F91" w:themeFill="accent1" w:themeFillShade="BF"/>
            <w:vAlign w:val="center"/>
          </w:tcPr>
          <w:p w14:paraId="4C1C7956" w14:textId="24DC436D" w:rsidR="009650F5" w:rsidRPr="00933A23" w:rsidRDefault="009650F5" w:rsidP="009650F5">
            <w:pPr>
              <w:jc w:val="center"/>
              <w:rPr>
                <w:rFonts w:ascii="Arial" w:hAnsi="Arial" w:cs="Arial"/>
                <w:b/>
                <w:bCs/>
                <w:sz w:val="20"/>
                <w:szCs w:val="20"/>
              </w:rPr>
            </w:pPr>
            <w:r w:rsidRPr="00933A23">
              <w:rPr>
                <w:rFonts w:ascii="Arial" w:hAnsi="Arial" w:cs="Arial"/>
                <w:b/>
                <w:bCs/>
                <w:color w:val="FFFFFF"/>
                <w:sz w:val="20"/>
                <w:szCs w:val="20"/>
              </w:rPr>
              <w:t>Concepto</w:t>
            </w:r>
          </w:p>
        </w:tc>
        <w:tc>
          <w:tcPr>
            <w:tcW w:w="1446" w:type="dxa"/>
            <w:tcBorders>
              <w:bottom w:val="single" w:sz="4" w:space="0" w:color="A6A6A6" w:themeColor="background1" w:themeShade="A6"/>
            </w:tcBorders>
            <w:shd w:val="clear" w:color="auto" w:fill="365F91" w:themeFill="accent1" w:themeFillShade="BF"/>
            <w:noWrap/>
            <w:vAlign w:val="center"/>
          </w:tcPr>
          <w:p w14:paraId="722A8A60" w14:textId="06FA158B" w:rsidR="00060C9D" w:rsidRDefault="00060C9D" w:rsidP="00060C9D">
            <w:pPr>
              <w:jc w:val="center"/>
              <w:rPr>
                <w:rFonts w:ascii="Arial" w:hAnsi="Arial" w:cs="Arial"/>
                <w:b/>
                <w:bCs/>
                <w:color w:val="FFFFFF"/>
                <w:sz w:val="20"/>
                <w:szCs w:val="20"/>
              </w:rPr>
            </w:pPr>
            <w:r>
              <w:rPr>
                <w:rFonts w:ascii="Arial" w:hAnsi="Arial" w:cs="Arial"/>
                <w:b/>
                <w:bCs/>
                <w:color w:val="FFFFFF"/>
                <w:sz w:val="20"/>
                <w:szCs w:val="20"/>
              </w:rPr>
              <w:t>Septiembre</w:t>
            </w:r>
          </w:p>
          <w:p w14:paraId="7B67AE8E" w14:textId="62AF17A2" w:rsidR="009650F5" w:rsidRPr="00933A23" w:rsidRDefault="007662AD" w:rsidP="00060C9D">
            <w:pPr>
              <w:jc w:val="center"/>
              <w:rPr>
                <w:rFonts w:ascii="Arial" w:hAnsi="Arial" w:cs="Arial"/>
                <w:b/>
                <w:bCs/>
                <w:sz w:val="20"/>
                <w:szCs w:val="20"/>
              </w:rPr>
            </w:pPr>
            <w:r>
              <w:rPr>
                <w:rFonts w:ascii="Arial" w:hAnsi="Arial" w:cs="Arial"/>
                <w:b/>
                <w:bCs/>
                <w:color w:val="FFFFFF"/>
                <w:sz w:val="20"/>
                <w:szCs w:val="20"/>
              </w:rPr>
              <w:t>201</w:t>
            </w:r>
            <w:r w:rsidR="00060C9D">
              <w:rPr>
                <w:rFonts w:ascii="Arial" w:hAnsi="Arial" w:cs="Arial"/>
                <w:b/>
                <w:bCs/>
                <w:color w:val="FFFFFF"/>
                <w:sz w:val="20"/>
                <w:szCs w:val="20"/>
              </w:rPr>
              <w:t>7</w:t>
            </w:r>
          </w:p>
        </w:tc>
        <w:tc>
          <w:tcPr>
            <w:tcW w:w="1446" w:type="dxa"/>
            <w:tcBorders>
              <w:bottom w:val="single" w:sz="4" w:space="0" w:color="A6A6A6" w:themeColor="background1" w:themeShade="A6"/>
            </w:tcBorders>
            <w:shd w:val="clear" w:color="auto" w:fill="365F91" w:themeFill="accent1" w:themeFillShade="BF"/>
            <w:noWrap/>
            <w:vAlign w:val="center"/>
          </w:tcPr>
          <w:p w14:paraId="53A08761" w14:textId="34A1DF83" w:rsidR="009650F5" w:rsidRPr="00933A23" w:rsidRDefault="007662AD" w:rsidP="00060C9D">
            <w:pPr>
              <w:jc w:val="center"/>
              <w:rPr>
                <w:rFonts w:ascii="Arial" w:hAnsi="Arial" w:cs="Arial"/>
                <w:b/>
                <w:bCs/>
                <w:sz w:val="20"/>
                <w:szCs w:val="20"/>
              </w:rPr>
            </w:pPr>
            <w:r>
              <w:rPr>
                <w:rFonts w:ascii="Arial" w:hAnsi="Arial" w:cs="Arial"/>
                <w:b/>
                <w:bCs/>
                <w:color w:val="FFFFFF"/>
                <w:sz w:val="20"/>
                <w:szCs w:val="20"/>
              </w:rPr>
              <w:t>201</w:t>
            </w:r>
            <w:r w:rsidR="00060C9D">
              <w:rPr>
                <w:rFonts w:ascii="Arial" w:hAnsi="Arial" w:cs="Arial"/>
                <w:b/>
                <w:bCs/>
                <w:color w:val="FFFFFF"/>
                <w:sz w:val="20"/>
                <w:szCs w:val="20"/>
              </w:rPr>
              <w:t>6</w:t>
            </w:r>
          </w:p>
        </w:tc>
        <w:tc>
          <w:tcPr>
            <w:tcW w:w="1486" w:type="dxa"/>
            <w:tcBorders>
              <w:bottom w:val="single" w:sz="4" w:space="0" w:color="A6A6A6" w:themeColor="background1" w:themeShade="A6"/>
            </w:tcBorders>
            <w:shd w:val="clear" w:color="auto" w:fill="365F91" w:themeFill="accent1" w:themeFillShade="BF"/>
            <w:noWrap/>
            <w:vAlign w:val="center"/>
          </w:tcPr>
          <w:p w14:paraId="50766F93" w14:textId="272E3278" w:rsidR="009650F5" w:rsidRPr="00933A23" w:rsidRDefault="009650F5" w:rsidP="009650F5">
            <w:pPr>
              <w:jc w:val="center"/>
              <w:rPr>
                <w:rFonts w:ascii="Arial" w:hAnsi="Arial" w:cs="Arial"/>
                <w:b/>
                <w:bCs/>
                <w:sz w:val="20"/>
                <w:szCs w:val="20"/>
              </w:rPr>
            </w:pPr>
            <w:r w:rsidRPr="00933A23">
              <w:rPr>
                <w:rFonts w:ascii="Arial" w:hAnsi="Arial" w:cs="Arial"/>
                <w:b/>
                <w:bCs/>
                <w:color w:val="FFFFFF"/>
                <w:sz w:val="20"/>
                <w:szCs w:val="20"/>
              </w:rPr>
              <w:t>Variación</w:t>
            </w:r>
          </w:p>
        </w:tc>
        <w:tc>
          <w:tcPr>
            <w:tcW w:w="926" w:type="dxa"/>
            <w:tcBorders>
              <w:bottom w:val="single" w:sz="4" w:space="0" w:color="A6A6A6" w:themeColor="background1" w:themeShade="A6"/>
            </w:tcBorders>
            <w:shd w:val="clear" w:color="auto" w:fill="365F91" w:themeFill="accent1" w:themeFillShade="BF"/>
            <w:noWrap/>
            <w:vAlign w:val="center"/>
          </w:tcPr>
          <w:p w14:paraId="6AA34459" w14:textId="3252FE89" w:rsidR="009650F5" w:rsidRPr="00933A23" w:rsidRDefault="009650F5" w:rsidP="009650F5">
            <w:pPr>
              <w:jc w:val="center"/>
              <w:rPr>
                <w:rFonts w:ascii="Arial" w:hAnsi="Arial" w:cs="Arial"/>
                <w:b/>
                <w:bCs/>
                <w:sz w:val="20"/>
                <w:szCs w:val="20"/>
              </w:rPr>
            </w:pPr>
            <w:r w:rsidRPr="00933A23">
              <w:rPr>
                <w:rFonts w:ascii="Arial" w:hAnsi="Arial" w:cs="Arial"/>
                <w:b/>
                <w:bCs/>
                <w:color w:val="FFFFFF"/>
                <w:sz w:val="20"/>
                <w:szCs w:val="20"/>
              </w:rPr>
              <w:t>%</w:t>
            </w:r>
          </w:p>
        </w:tc>
      </w:tr>
      <w:tr w:rsidR="00060C9D" w:rsidRPr="00933A23" w14:paraId="6CD02C07" w14:textId="77777777" w:rsidTr="00060C9D">
        <w:trPr>
          <w:trHeight w:val="835"/>
        </w:trPr>
        <w:tc>
          <w:tcPr>
            <w:tcW w:w="3591" w:type="dxa"/>
            <w:shd w:val="clear" w:color="000000" w:fill="FFFFFF"/>
            <w:vAlign w:val="center"/>
            <w:hideMark/>
          </w:tcPr>
          <w:p w14:paraId="75C00522" w14:textId="650B6D9F" w:rsidR="00060C9D" w:rsidRPr="00933A23" w:rsidRDefault="00060C9D" w:rsidP="00060C9D">
            <w:pPr>
              <w:rPr>
                <w:rFonts w:ascii="Arial" w:hAnsi="Arial" w:cs="Arial"/>
                <w:bCs/>
                <w:sz w:val="20"/>
                <w:szCs w:val="20"/>
              </w:rPr>
            </w:pPr>
            <w:r w:rsidRPr="00933A23">
              <w:rPr>
                <w:rFonts w:ascii="Arial" w:hAnsi="Arial" w:cs="Arial"/>
                <w:bCs/>
                <w:sz w:val="20"/>
                <w:szCs w:val="20"/>
              </w:rPr>
              <w:t>Participaciones, Aportaciones, Transferencias, Asignaciones, Subsidios y Otras Ayudas</w:t>
            </w:r>
          </w:p>
        </w:tc>
        <w:tc>
          <w:tcPr>
            <w:tcW w:w="1446" w:type="dxa"/>
            <w:shd w:val="clear" w:color="000000" w:fill="FFFFFF"/>
            <w:noWrap/>
            <w:vAlign w:val="center"/>
          </w:tcPr>
          <w:p w14:paraId="6291DA91" w14:textId="4319394F" w:rsidR="00060C9D" w:rsidRPr="00933A23" w:rsidRDefault="00060C9D" w:rsidP="00060C9D">
            <w:pPr>
              <w:jc w:val="right"/>
              <w:rPr>
                <w:rFonts w:ascii="Arial" w:hAnsi="Arial" w:cs="Arial"/>
                <w:bCs/>
                <w:sz w:val="20"/>
                <w:szCs w:val="20"/>
              </w:rPr>
            </w:pPr>
            <w:r>
              <w:rPr>
                <w:rFonts w:ascii="Arial" w:hAnsi="Arial" w:cs="Arial"/>
                <w:bCs/>
                <w:sz w:val="20"/>
                <w:szCs w:val="20"/>
              </w:rPr>
              <w:t>43,136,925</w:t>
            </w:r>
          </w:p>
        </w:tc>
        <w:tc>
          <w:tcPr>
            <w:tcW w:w="1446" w:type="dxa"/>
            <w:shd w:val="clear" w:color="000000" w:fill="FFFFFF"/>
            <w:noWrap/>
            <w:vAlign w:val="center"/>
            <w:hideMark/>
          </w:tcPr>
          <w:p w14:paraId="107AD833" w14:textId="15BE8520" w:rsidR="00060C9D" w:rsidRPr="00933A23" w:rsidRDefault="00060C9D" w:rsidP="00060C9D">
            <w:pPr>
              <w:jc w:val="right"/>
              <w:rPr>
                <w:rFonts w:ascii="Arial" w:hAnsi="Arial" w:cs="Arial"/>
                <w:bCs/>
                <w:sz w:val="20"/>
                <w:szCs w:val="20"/>
              </w:rPr>
            </w:pPr>
            <w:r>
              <w:rPr>
                <w:rFonts w:ascii="Arial" w:hAnsi="Arial" w:cs="Arial"/>
                <w:bCs/>
                <w:sz w:val="20"/>
                <w:szCs w:val="20"/>
              </w:rPr>
              <w:t>58,164,674</w:t>
            </w:r>
          </w:p>
        </w:tc>
        <w:tc>
          <w:tcPr>
            <w:tcW w:w="1486" w:type="dxa"/>
            <w:shd w:val="clear" w:color="000000" w:fill="FFFFFF"/>
            <w:noWrap/>
            <w:vAlign w:val="center"/>
            <w:hideMark/>
          </w:tcPr>
          <w:p w14:paraId="53C4E91A" w14:textId="49F6A72A" w:rsidR="00060C9D" w:rsidRPr="00933A23" w:rsidRDefault="00060C9D" w:rsidP="00060C9D">
            <w:pPr>
              <w:jc w:val="right"/>
              <w:rPr>
                <w:rFonts w:ascii="Arial" w:hAnsi="Arial" w:cs="Arial"/>
                <w:bCs/>
                <w:sz w:val="20"/>
                <w:szCs w:val="20"/>
              </w:rPr>
            </w:pPr>
            <w:r>
              <w:rPr>
                <w:rFonts w:ascii="Arial" w:hAnsi="Arial" w:cs="Arial"/>
                <w:bCs/>
                <w:sz w:val="20"/>
                <w:szCs w:val="20"/>
              </w:rPr>
              <w:t>15,027,748</w:t>
            </w:r>
          </w:p>
        </w:tc>
        <w:tc>
          <w:tcPr>
            <w:tcW w:w="926" w:type="dxa"/>
            <w:shd w:val="clear" w:color="000000" w:fill="FFFFFF"/>
            <w:noWrap/>
            <w:vAlign w:val="center"/>
            <w:hideMark/>
          </w:tcPr>
          <w:p w14:paraId="442F7CB6" w14:textId="780F9F28" w:rsidR="00060C9D" w:rsidRPr="00933A23" w:rsidRDefault="00060C9D" w:rsidP="00060C9D">
            <w:pPr>
              <w:jc w:val="right"/>
              <w:rPr>
                <w:rFonts w:ascii="Arial" w:hAnsi="Arial" w:cs="Arial"/>
                <w:bCs/>
                <w:sz w:val="20"/>
                <w:szCs w:val="20"/>
              </w:rPr>
            </w:pPr>
            <w:r>
              <w:rPr>
                <w:rFonts w:ascii="Arial" w:hAnsi="Arial" w:cs="Arial"/>
                <w:bCs/>
                <w:sz w:val="20"/>
                <w:szCs w:val="20"/>
              </w:rPr>
              <w:t>-25.8</w:t>
            </w:r>
          </w:p>
        </w:tc>
      </w:tr>
    </w:tbl>
    <w:p w14:paraId="6D6DB255" w14:textId="77777777" w:rsidR="009650F5" w:rsidRPr="00933A23" w:rsidRDefault="009650F5" w:rsidP="00BE67F7">
      <w:pPr>
        <w:spacing w:line="360" w:lineRule="auto"/>
        <w:jc w:val="both"/>
        <w:rPr>
          <w:rFonts w:ascii="Arial" w:hAnsi="Arial" w:cs="Arial"/>
          <w:sz w:val="20"/>
          <w:szCs w:val="20"/>
        </w:rPr>
      </w:pPr>
    </w:p>
    <w:p w14:paraId="64233D34" w14:textId="77777777" w:rsidR="00060C9D" w:rsidRDefault="00060C9D" w:rsidP="00BE67F7">
      <w:pPr>
        <w:spacing w:after="120" w:line="360" w:lineRule="auto"/>
        <w:jc w:val="center"/>
        <w:rPr>
          <w:rFonts w:ascii="Arial" w:hAnsi="Arial" w:cs="Arial"/>
          <w:b/>
          <w:sz w:val="20"/>
          <w:szCs w:val="20"/>
        </w:rPr>
      </w:pPr>
    </w:p>
    <w:p w14:paraId="38EBB921" w14:textId="77777777" w:rsidR="00BE67F7" w:rsidRPr="00933A23" w:rsidRDefault="00BE67F7" w:rsidP="00BE67F7">
      <w:pPr>
        <w:spacing w:after="120" w:line="360" w:lineRule="auto"/>
        <w:jc w:val="center"/>
        <w:rPr>
          <w:rFonts w:ascii="Arial" w:hAnsi="Arial" w:cs="Arial"/>
          <w:b/>
          <w:sz w:val="20"/>
          <w:szCs w:val="20"/>
        </w:rPr>
      </w:pPr>
      <w:r w:rsidRPr="00933A23">
        <w:rPr>
          <w:rFonts w:ascii="Arial" w:hAnsi="Arial" w:cs="Arial"/>
          <w:b/>
          <w:sz w:val="20"/>
          <w:szCs w:val="20"/>
        </w:rPr>
        <w:t>NOTAS AL ESTADO DE VARIACIONES EN LA HACIENDA PÚBLICA/PATRIMONIO</w:t>
      </w:r>
    </w:p>
    <w:p w14:paraId="38EBB922" w14:textId="77777777" w:rsidR="00BE67F7" w:rsidRPr="00933A23" w:rsidRDefault="00BE67F7" w:rsidP="00BE67F7">
      <w:pPr>
        <w:spacing w:after="120" w:line="360" w:lineRule="auto"/>
        <w:ind w:left="709"/>
        <w:jc w:val="both"/>
        <w:rPr>
          <w:rFonts w:ascii="Arial" w:hAnsi="Arial" w:cs="Arial"/>
          <w:sz w:val="20"/>
          <w:szCs w:val="20"/>
        </w:rPr>
      </w:pPr>
    </w:p>
    <w:p w14:paraId="38EBB925" w14:textId="3F4B176B" w:rsidR="00BE67F7" w:rsidRPr="00FD765B" w:rsidRDefault="00BE67F7" w:rsidP="00BE67F7">
      <w:pPr>
        <w:spacing w:after="120" w:line="360" w:lineRule="auto"/>
        <w:jc w:val="both"/>
        <w:rPr>
          <w:rFonts w:ascii="Arial" w:hAnsi="Arial" w:cs="Arial"/>
          <w:sz w:val="22"/>
          <w:szCs w:val="20"/>
        </w:rPr>
      </w:pPr>
      <w:r w:rsidRPr="00FD765B">
        <w:rPr>
          <w:rFonts w:ascii="Arial" w:hAnsi="Arial" w:cs="Arial"/>
          <w:sz w:val="22"/>
          <w:szCs w:val="20"/>
        </w:rPr>
        <w:t>En el Pat</w:t>
      </w:r>
      <w:r w:rsidR="00F57B8B" w:rsidRPr="00FD765B">
        <w:rPr>
          <w:rFonts w:ascii="Arial" w:hAnsi="Arial" w:cs="Arial"/>
          <w:sz w:val="22"/>
          <w:szCs w:val="20"/>
        </w:rPr>
        <w:t>rimonio Contribuido, no</w:t>
      </w:r>
      <w:r w:rsidR="00651176" w:rsidRPr="00FD765B">
        <w:rPr>
          <w:rFonts w:ascii="Arial" w:hAnsi="Arial" w:cs="Arial"/>
          <w:sz w:val="22"/>
          <w:szCs w:val="20"/>
        </w:rPr>
        <w:t xml:space="preserve"> existe</w:t>
      </w:r>
      <w:r w:rsidR="005753BD" w:rsidRPr="00FD765B">
        <w:rPr>
          <w:rFonts w:ascii="Arial" w:hAnsi="Arial" w:cs="Arial"/>
          <w:sz w:val="22"/>
          <w:szCs w:val="20"/>
        </w:rPr>
        <w:t xml:space="preserve"> variación durante el periodo</w:t>
      </w:r>
      <w:r w:rsidR="00B401D3" w:rsidRPr="00FD765B">
        <w:rPr>
          <w:rFonts w:ascii="Arial" w:hAnsi="Arial" w:cs="Arial"/>
          <w:sz w:val="22"/>
          <w:szCs w:val="20"/>
        </w:rPr>
        <w:t>.</w:t>
      </w:r>
      <w:r w:rsidRPr="00FD765B">
        <w:rPr>
          <w:rFonts w:ascii="Arial" w:hAnsi="Arial" w:cs="Arial"/>
          <w:sz w:val="22"/>
          <w:szCs w:val="20"/>
        </w:rPr>
        <w:t xml:space="preserve"> </w:t>
      </w:r>
      <w:r w:rsidR="00B401D3" w:rsidRPr="00FD765B">
        <w:rPr>
          <w:rFonts w:ascii="Arial" w:hAnsi="Arial" w:cs="Arial"/>
          <w:sz w:val="22"/>
          <w:szCs w:val="20"/>
        </w:rPr>
        <w:t xml:space="preserve">En el </w:t>
      </w:r>
      <w:r w:rsidRPr="00FD765B">
        <w:rPr>
          <w:rFonts w:ascii="Arial" w:hAnsi="Arial" w:cs="Arial"/>
          <w:sz w:val="22"/>
          <w:szCs w:val="20"/>
        </w:rPr>
        <w:t xml:space="preserve">Patrimonio Generado de Ejercicios Anteriores, la variación negativa, </w:t>
      </w:r>
      <w:r w:rsidR="00F8585A" w:rsidRPr="00FD765B">
        <w:rPr>
          <w:rFonts w:ascii="Arial" w:hAnsi="Arial" w:cs="Arial"/>
          <w:sz w:val="22"/>
          <w:szCs w:val="20"/>
        </w:rPr>
        <w:t>se debe principalmente por</w:t>
      </w:r>
      <w:r w:rsidRPr="00FD765B">
        <w:rPr>
          <w:rFonts w:ascii="Arial" w:hAnsi="Arial" w:cs="Arial"/>
          <w:sz w:val="22"/>
          <w:szCs w:val="20"/>
        </w:rPr>
        <w:t xml:space="preserve"> cambios en políticas y errores contables</w:t>
      </w:r>
      <w:r w:rsidR="00F8585A" w:rsidRPr="00FD765B">
        <w:rPr>
          <w:rFonts w:ascii="Arial" w:hAnsi="Arial" w:cs="Arial"/>
          <w:sz w:val="22"/>
          <w:szCs w:val="20"/>
        </w:rPr>
        <w:t xml:space="preserve"> </w:t>
      </w:r>
      <w:r w:rsidR="009976AF" w:rsidRPr="00FD765B">
        <w:rPr>
          <w:rFonts w:ascii="Arial" w:hAnsi="Arial" w:cs="Arial"/>
          <w:sz w:val="22"/>
          <w:szCs w:val="20"/>
        </w:rPr>
        <w:t>por</w:t>
      </w:r>
      <w:r w:rsidR="00F8585A" w:rsidRPr="00FD765B">
        <w:rPr>
          <w:rFonts w:ascii="Arial" w:hAnsi="Arial" w:cs="Arial"/>
          <w:sz w:val="22"/>
          <w:szCs w:val="20"/>
        </w:rPr>
        <w:t xml:space="preserve"> </w:t>
      </w:r>
      <w:r w:rsidRPr="00FD765B">
        <w:rPr>
          <w:rFonts w:ascii="Arial" w:hAnsi="Arial" w:cs="Arial"/>
          <w:sz w:val="22"/>
          <w:szCs w:val="20"/>
        </w:rPr>
        <w:t>$</w:t>
      </w:r>
      <w:r w:rsidR="005753BD" w:rsidRPr="00FD765B">
        <w:rPr>
          <w:rFonts w:ascii="Arial" w:hAnsi="Arial" w:cs="Arial"/>
          <w:sz w:val="22"/>
          <w:szCs w:val="20"/>
        </w:rPr>
        <w:t xml:space="preserve">- </w:t>
      </w:r>
      <w:r w:rsidR="001C2D07" w:rsidRPr="00FD765B">
        <w:rPr>
          <w:rFonts w:ascii="Arial" w:hAnsi="Arial" w:cs="Arial"/>
          <w:sz w:val="22"/>
          <w:szCs w:val="20"/>
        </w:rPr>
        <w:t>2</w:t>
      </w:r>
      <w:r w:rsidR="009F1669" w:rsidRPr="00FD765B">
        <w:rPr>
          <w:rFonts w:ascii="Arial" w:hAnsi="Arial" w:cs="Arial"/>
          <w:sz w:val="22"/>
          <w:szCs w:val="20"/>
        </w:rPr>
        <w:t>, 047,744 miles</w:t>
      </w:r>
      <w:r w:rsidRPr="00FD765B">
        <w:rPr>
          <w:rFonts w:ascii="Arial" w:hAnsi="Arial" w:cs="Arial"/>
          <w:sz w:val="22"/>
          <w:szCs w:val="20"/>
        </w:rPr>
        <w:t xml:space="preserve"> de pesos.</w:t>
      </w:r>
    </w:p>
    <w:p w14:paraId="2E29F6F5" w14:textId="77777777" w:rsidR="00A6216D" w:rsidRDefault="00A6216D" w:rsidP="00BE67F7">
      <w:pPr>
        <w:spacing w:after="120" w:line="360" w:lineRule="auto"/>
        <w:ind w:left="709"/>
        <w:jc w:val="both"/>
        <w:rPr>
          <w:rFonts w:ascii="Arial" w:hAnsi="Arial" w:cs="Arial"/>
          <w:sz w:val="20"/>
          <w:szCs w:val="20"/>
        </w:rPr>
      </w:pPr>
    </w:p>
    <w:p w14:paraId="010BD172" w14:textId="77777777" w:rsidR="00FD765B" w:rsidRDefault="00FD765B" w:rsidP="00BE67F7">
      <w:pPr>
        <w:spacing w:after="120" w:line="360" w:lineRule="auto"/>
        <w:ind w:left="709"/>
        <w:jc w:val="both"/>
        <w:rPr>
          <w:rFonts w:ascii="Arial" w:hAnsi="Arial" w:cs="Arial"/>
          <w:sz w:val="20"/>
          <w:szCs w:val="20"/>
        </w:rPr>
      </w:pPr>
    </w:p>
    <w:p w14:paraId="7958AE75" w14:textId="77777777" w:rsidR="00D26F77" w:rsidRDefault="00D26F77" w:rsidP="00BE67F7">
      <w:pPr>
        <w:spacing w:after="120" w:line="360" w:lineRule="auto"/>
        <w:ind w:left="709"/>
        <w:jc w:val="both"/>
        <w:rPr>
          <w:rFonts w:ascii="Arial" w:hAnsi="Arial" w:cs="Arial"/>
          <w:sz w:val="20"/>
          <w:szCs w:val="20"/>
        </w:rPr>
      </w:pPr>
    </w:p>
    <w:p w14:paraId="7392A079" w14:textId="4990901C" w:rsidR="002D076B" w:rsidRDefault="002D076B" w:rsidP="002D076B">
      <w:pPr>
        <w:autoSpaceDE w:val="0"/>
        <w:autoSpaceDN w:val="0"/>
        <w:adjustRightInd w:val="0"/>
        <w:spacing w:before="240" w:after="120" w:line="360" w:lineRule="auto"/>
        <w:jc w:val="center"/>
        <w:rPr>
          <w:rFonts w:ascii="Arial" w:hAnsi="Arial" w:cs="Arial"/>
          <w:b/>
          <w:sz w:val="20"/>
          <w:szCs w:val="20"/>
        </w:rPr>
      </w:pPr>
      <w:r w:rsidRPr="00933A23">
        <w:rPr>
          <w:rFonts w:ascii="Arial" w:hAnsi="Arial" w:cs="Arial"/>
          <w:b/>
          <w:sz w:val="20"/>
          <w:szCs w:val="20"/>
        </w:rPr>
        <w:lastRenderedPageBreak/>
        <w:t>NOTAS DE MEMORIA</w:t>
      </w:r>
    </w:p>
    <w:p w14:paraId="3D6EAE9F" w14:textId="77777777" w:rsidR="00FD765B" w:rsidRPr="00933A23" w:rsidRDefault="00FD765B" w:rsidP="002D076B">
      <w:pPr>
        <w:autoSpaceDE w:val="0"/>
        <w:autoSpaceDN w:val="0"/>
        <w:adjustRightInd w:val="0"/>
        <w:spacing w:before="240" w:after="120" w:line="360" w:lineRule="auto"/>
        <w:jc w:val="center"/>
        <w:rPr>
          <w:rFonts w:ascii="Arial" w:hAnsi="Arial" w:cs="Arial"/>
          <w:b/>
          <w:sz w:val="20"/>
          <w:szCs w:val="20"/>
        </w:rPr>
      </w:pPr>
    </w:p>
    <w:p w14:paraId="6AF9B485" w14:textId="5EFBCEBB" w:rsidR="00696C04" w:rsidRPr="002745B7" w:rsidRDefault="00696C04" w:rsidP="00696C04">
      <w:pPr>
        <w:spacing w:line="360" w:lineRule="auto"/>
        <w:jc w:val="both"/>
        <w:rPr>
          <w:rFonts w:ascii="Arial" w:hAnsi="Arial" w:cs="Arial"/>
          <w:sz w:val="22"/>
        </w:rPr>
      </w:pPr>
      <w:r>
        <w:rPr>
          <w:rFonts w:ascii="Arial" w:hAnsi="Arial" w:cs="Arial"/>
          <w:sz w:val="22"/>
        </w:rPr>
        <w:t xml:space="preserve">En las </w:t>
      </w:r>
      <w:r w:rsidRPr="002745B7">
        <w:rPr>
          <w:rFonts w:ascii="Arial" w:hAnsi="Arial" w:cs="Arial"/>
          <w:sz w:val="22"/>
        </w:rPr>
        <w:t>Nota</w:t>
      </w:r>
      <w:r w:rsidR="003937F1">
        <w:rPr>
          <w:rFonts w:ascii="Arial" w:hAnsi="Arial" w:cs="Arial"/>
          <w:sz w:val="22"/>
        </w:rPr>
        <w:t>s de memoria,</w:t>
      </w:r>
      <w:r w:rsidRPr="002745B7">
        <w:rPr>
          <w:rFonts w:ascii="Arial" w:hAnsi="Arial" w:cs="Arial"/>
          <w:sz w:val="22"/>
        </w:rPr>
        <w:t xml:space="preserve"> se informa sobre las cuentas de orden que se utilizan para registrar movimientos de valores que no afectan el balance </w:t>
      </w:r>
      <w:r w:rsidR="003937F1">
        <w:rPr>
          <w:rFonts w:ascii="Arial" w:hAnsi="Arial" w:cs="Arial"/>
          <w:sz w:val="22"/>
        </w:rPr>
        <w:t>contable de la entidad</w:t>
      </w:r>
      <w:r w:rsidRPr="002745B7">
        <w:rPr>
          <w:rFonts w:ascii="Arial" w:hAnsi="Arial" w:cs="Arial"/>
          <w:sz w:val="22"/>
        </w:rPr>
        <w:t>, con fines de recordatorio contable, de control y en general sobre los aspectos administrativos, o bien, para consignar los derechos o responsabilidade</w:t>
      </w:r>
      <w:r w:rsidR="009379A7">
        <w:rPr>
          <w:rFonts w:ascii="Arial" w:hAnsi="Arial" w:cs="Arial"/>
          <w:sz w:val="22"/>
        </w:rPr>
        <w:t>s contingentes que puedan</w:t>
      </w:r>
      <w:r w:rsidRPr="002745B7">
        <w:rPr>
          <w:rFonts w:ascii="Arial" w:hAnsi="Arial" w:cs="Arial"/>
          <w:sz w:val="22"/>
        </w:rPr>
        <w:t xml:space="preserve"> presentarse</w:t>
      </w:r>
      <w:r w:rsidR="009379A7">
        <w:rPr>
          <w:rFonts w:ascii="Arial" w:hAnsi="Arial" w:cs="Arial"/>
          <w:sz w:val="22"/>
        </w:rPr>
        <w:t xml:space="preserve"> o no</w:t>
      </w:r>
      <w:r w:rsidRPr="002745B7">
        <w:rPr>
          <w:rFonts w:ascii="Arial" w:hAnsi="Arial" w:cs="Arial"/>
          <w:sz w:val="22"/>
        </w:rPr>
        <w:t xml:space="preserve"> en el futuro.</w:t>
      </w:r>
    </w:p>
    <w:p w14:paraId="683F52F0" w14:textId="77777777" w:rsidR="00EB3E74" w:rsidRPr="00933A23" w:rsidRDefault="00EB3E74" w:rsidP="002D076B">
      <w:pPr>
        <w:autoSpaceDE w:val="0"/>
        <w:autoSpaceDN w:val="0"/>
        <w:adjustRightInd w:val="0"/>
        <w:spacing w:before="240" w:after="120" w:line="360" w:lineRule="auto"/>
        <w:jc w:val="center"/>
        <w:rPr>
          <w:rFonts w:ascii="Arial" w:hAnsi="Arial" w:cs="Arial"/>
          <w:b/>
          <w:sz w:val="20"/>
          <w:szCs w:val="20"/>
        </w:rPr>
      </w:pPr>
    </w:p>
    <w:p w14:paraId="5B234874" w14:textId="1CD61F12" w:rsidR="002D076B" w:rsidRPr="00FD765B" w:rsidRDefault="002D076B" w:rsidP="002D076B">
      <w:pPr>
        <w:spacing w:before="80" w:line="360" w:lineRule="auto"/>
        <w:jc w:val="both"/>
        <w:rPr>
          <w:rFonts w:ascii="Arial" w:hAnsi="Arial" w:cs="Arial"/>
          <w:sz w:val="22"/>
        </w:rPr>
      </w:pPr>
      <w:r w:rsidRPr="00FD765B">
        <w:rPr>
          <w:rFonts w:ascii="Arial" w:hAnsi="Arial" w:cs="Arial"/>
          <w:sz w:val="22"/>
        </w:rPr>
        <w:t>Atendiendo a lo establecido en LGCG, para efectos del registro y control, el Consejo Nacional de</w:t>
      </w:r>
      <w:r w:rsidRPr="00933A23">
        <w:rPr>
          <w:rFonts w:ascii="Arial" w:hAnsi="Arial" w:cs="Arial"/>
          <w:sz w:val="20"/>
          <w:szCs w:val="20"/>
          <w:lang w:eastAsia="es-ES"/>
        </w:rPr>
        <w:t xml:space="preserve"> </w:t>
      </w:r>
      <w:r w:rsidRPr="00FD765B">
        <w:rPr>
          <w:rFonts w:ascii="Arial" w:hAnsi="Arial" w:cs="Arial"/>
          <w:sz w:val="22"/>
        </w:rPr>
        <w:t>Armonización Contable ha determinado Cuentas de Orden contables, mismas que se presentan en el Plan de Cuentas emitido; en este contexto, el Gobierno del Estado   ha incluido algunas cuentas de orden en el Manual de Contabilidad Gubernamental.</w:t>
      </w:r>
    </w:p>
    <w:p w14:paraId="11A71C19" w14:textId="77777777" w:rsidR="007546E2" w:rsidRPr="00FD765B" w:rsidRDefault="007546E2" w:rsidP="002D076B">
      <w:pPr>
        <w:spacing w:before="80" w:line="360" w:lineRule="auto"/>
        <w:jc w:val="both"/>
        <w:rPr>
          <w:rFonts w:ascii="Arial" w:hAnsi="Arial" w:cs="Arial"/>
          <w:sz w:val="22"/>
        </w:rPr>
      </w:pPr>
    </w:p>
    <w:p w14:paraId="739F65C6" w14:textId="02928766" w:rsidR="002D076B" w:rsidRPr="00FD765B" w:rsidRDefault="002D076B" w:rsidP="002D076B">
      <w:pPr>
        <w:spacing w:before="80" w:line="360" w:lineRule="auto"/>
        <w:jc w:val="both"/>
        <w:rPr>
          <w:rFonts w:ascii="Arial" w:hAnsi="Arial" w:cs="Arial"/>
          <w:sz w:val="22"/>
        </w:rPr>
      </w:pPr>
      <w:r w:rsidRPr="00FD765B">
        <w:rPr>
          <w:rFonts w:ascii="Arial" w:hAnsi="Arial" w:cs="Arial"/>
          <w:sz w:val="22"/>
        </w:rPr>
        <w:t>Las Cuentas de Orden Contables permiten reflejar, entre otras operaciones, las correspondientes a Instrumentos de Crédito prestados o recibidos en garantía de los formadores de mercado, emisión de bonos, títulos y valores de deuda pública, avales y garantías recibidas, demandas judiciales, bienes recibidos en concesión, operaciones en proceso de regu</w:t>
      </w:r>
      <w:r w:rsidR="005215B4" w:rsidRPr="00FD765B">
        <w:rPr>
          <w:rFonts w:ascii="Arial" w:hAnsi="Arial" w:cs="Arial"/>
          <w:sz w:val="22"/>
        </w:rPr>
        <w:t>larizar</w:t>
      </w:r>
      <w:r w:rsidR="00EB3E74" w:rsidRPr="00FD765B">
        <w:rPr>
          <w:rFonts w:ascii="Arial" w:hAnsi="Arial" w:cs="Arial"/>
          <w:sz w:val="22"/>
        </w:rPr>
        <w:t>.</w:t>
      </w:r>
    </w:p>
    <w:p w14:paraId="605D9E66" w14:textId="77777777" w:rsidR="00EB3E74" w:rsidRPr="00FD765B" w:rsidRDefault="00EB3E74" w:rsidP="002D076B">
      <w:pPr>
        <w:spacing w:before="80" w:line="360" w:lineRule="auto"/>
        <w:jc w:val="both"/>
        <w:rPr>
          <w:rFonts w:ascii="Arial" w:hAnsi="Arial" w:cs="Arial"/>
          <w:sz w:val="22"/>
        </w:rPr>
      </w:pPr>
    </w:p>
    <w:p w14:paraId="482941A8" w14:textId="450A82F6" w:rsidR="005215B4" w:rsidRDefault="005215B4" w:rsidP="002D076B">
      <w:pPr>
        <w:spacing w:before="80" w:line="360" w:lineRule="auto"/>
        <w:jc w:val="both"/>
        <w:rPr>
          <w:rFonts w:ascii="Arial" w:hAnsi="Arial" w:cs="Arial"/>
          <w:sz w:val="22"/>
        </w:rPr>
      </w:pPr>
      <w:r w:rsidRPr="00FD765B">
        <w:rPr>
          <w:rFonts w:ascii="Arial" w:hAnsi="Arial" w:cs="Arial"/>
          <w:sz w:val="22"/>
        </w:rPr>
        <w:t>Las cuentas de orden de las etapas presupuestarias, de ingreso como de egreso y la incidencia que en su caso proceda en las cuentas de balance y resultados correspondientes, lo anterior con el propósito de contar con herramientas de control que permitan identificar los registros derivados de la ejecución y ejercicio de los presupuestos públicos, los saldos de las cuentas de orden presupuestarias de egresos son:</w:t>
      </w:r>
    </w:p>
    <w:p w14:paraId="5A29C2C0" w14:textId="77777777" w:rsidR="00D26F77" w:rsidRDefault="00D26F77" w:rsidP="002D076B">
      <w:pPr>
        <w:spacing w:before="80" w:line="360" w:lineRule="auto"/>
        <w:jc w:val="both"/>
        <w:rPr>
          <w:rFonts w:ascii="Arial" w:hAnsi="Arial" w:cs="Arial"/>
          <w:sz w:val="22"/>
        </w:rPr>
      </w:pPr>
    </w:p>
    <w:p w14:paraId="0F213085" w14:textId="77777777" w:rsidR="00D26F77" w:rsidRDefault="00D26F77" w:rsidP="002D076B">
      <w:pPr>
        <w:spacing w:before="80" w:line="360" w:lineRule="auto"/>
        <w:jc w:val="both"/>
        <w:rPr>
          <w:rFonts w:ascii="Arial" w:hAnsi="Arial" w:cs="Arial"/>
          <w:sz w:val="22"/>
        </w:rPr>
      </w:pPr>
    </w:p>
    <w:p w14:paraId="074F1FF5" w14:textId="77777777" w:rsidR="00D26F77" w:rsidRDefault="00D26F77" w:rsidP="002D076B">
      <w:pPr>
        <w:spacing w:before="80" w:line="360" w:lineRule="auto"/>
        <w:jc w:val="both"/>
        <w:rPr>
          <w:rFonts w:ascii="Arial" w:hAnsi="Arial" w:cs="Arial"/>
          <w:sz w:val="22"/>
        </w:rPr>
      </w:pPr>
    </w:p>
    <w:p w14:paraId="0189B1FB" w14:textId="77777777" w:rsidR="00D26F77" w:rsidRDefault="00D26F77" w:rsidP="002D076B">
      <w:pPr>
        <w:spacing w:before="80" w:line="360" w:lineRule="auto"/>
        <w:jc w:val="both"/>
        <w:rPr>
          <w:rFonts w:ascii="Arial" w:hAnsi="Arial" w:cs="Arial"/>
          <w:sz w:val="22"/>
        </w:rPr>
      </w:pPr>
    </w:p>
    <w:p w14:paraId="5A2DEA0B" w14:textId="77777777" w:rsidR="00FD765B" w:rsidRPr="00FD765B" w:rsidRDefault="00FD765B" w:rsidP="002D076B">
      <w:pPr>
        <w:spacing w:before="80" w:line="360" w:lineRule="auto"/>
        <w:jc w:val="both"/>
        <w:rPr>
          <w:rFonts w:ascii="Arial" w:hAnsi="Arial" w:cs="Arial"/>
          <w:sz w:val="22"/>
        </w:rPr>
      </w:pPr>
    </w:p>
    <w:p w14:paraId="026106FE" w14:textId="093CE0F1" w:rsidR="00542174" w:rsidRPr="00933A23" w:rsidRDefault="00542174" w:rsidP="002D076B">
      <w:pPr>
        <w:spacing w:before="80" w:line="360" w:lineRule="auto"/>
        <w:jc w:val="both"/>
        <w:rPr>
          <w:rFonts w:ascii="Arial" w:hAnsi="Arial" w:cs="Arial"/>
          <w:sz w:val="20"/>
          <w:szCs w:val="20"/>
          <w:lang w:eastAsia="es-ES"/>
        </w:rPr>
      </w:pPr>
      <w:r w:rsidRPr="00933A23">
        <w:rPr>
          <w:rFonts w:ascii="Arial" w:hAnsi="Arial" w:cs="Arial"/>
          <w:sz w:val="20"/>
          <w:szCs w:val="20"/>
          <w:lang w:val="es-ES"/>
        </w:rPr>
        <w:lastRenderedPageBreak/>
        <w:t xml:space="preserve">                                                 </w:t>
      </w:r>
      <w:r w:rsidR="004E59E2" w:rsidRPr="00933A23">
        <w:rPr>
          <w:rFonts w:ascii="Arial" w:hAnsi="Arial" w:cs="Arial"/>
          <w:sz w:val="20"/>
          <w:szCs w:val="20"/>
          <w:lang w:val="es-ES"/>
        </w:rPr>
        <w:t>(Miles</w:t>
      </w:r>
      <w:r w:rsidRPr="00933A23">
        <w:rPr>
          <w:rFonts w:ascii="Arial" w:hAnsi="Arial" w:cs="Arial"/>
          <w:sz w:val="20"/>
          <w:szCs w:val="20"/>
          <w:lang w:val="es-ES"/>
        </w:rPr>
        <w:t xml:space="preserve"> de pesos)</w:t>
      </w:r>
    </w:p>
    <w:tbl>
      <w:tblPr>
        <w:tblW w:w="7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260"/>
      </w:tblGrid>
      <w:tr w:rsidR="0022178E" w:rsidRPr="00933A23" w14:paraId="7772FABA" w14:textId="77777777" w:rsidTr="00FD765B">
        <w:trPr>
          <w:trHeight w:val="381"/>
          <w:jc w:val="center"/>
        </w:trPr>
        <w:tc>
          <w:tcPr>
            <w:tcW w:w="5427" w:type="dxa"/>
            <w:shd w:val="clear" w:color="auto" w:fill="365F91" w:themeFill="accent1" w:themeFillShade="BF"/>
            <w:noWrap/>
            <w:vAlign w:val="center"/>
          </w:tcPr>
          <w:p w14:paraId="6381EA16" w14:textId="18AE0AA8" w:rsidR="0022178E" w:rsidRPr="00933A23" w:rsidRDefault="0022178E" w:rsidP="0022178E">
            <w:pPr>
              <w:spacing w:line="240" w:lineRule="exact"/>
              <w:jc w:val="center"/>
              <w:rPr>
                <w:rFonts w:ascii="Arial" w:eastAsia="Calibri" w:hAnsi="Arial" w:cs="Arial"/>
                <w:b/>
                <w:color w:val="FFFFFF" w:themeColor="background1"/>
                <w:spacing w:val="-1"/>
                <w:sz w:val="20"/>
                <w:szCs w:val="20"/>
              </w:rPr>
            </w:pPr>
            <w:r w:rsidRPr="00933A23">
              <w:rPr>
                <w:rFonts w:ascii="Arial" w:eastAsia="Calibri" w:hAnsi="Arial" w:cs="Arial"/>
                <w:color w:val="FFFFFF" w:themeColor="background1"/>
                <w:spacing w:val="-1"/>
                <w:sz w:val="20"/>
                <w:szCs w:val="20"/>
              </w:rPr>
              <w:t xml:space="preserve"> </w:t>
            </w:r>
            <w:r w:rsidRPr="00933A23">
              <w:rPr>
                <w:rFonts w:ascii="Arial" w:eastAsia="Calibri" w:hAnsi="Arial" w:cs="Arial"/>
                <w:b/>
                <w:color w:val="FFFFFF" w:themeColor="background1"/>
                <w:spacing w:val="-1"/>
                <w:sz w:val="20"/>
                <w:szCs w:val="20"/>
              </w:rPr>
              <w:t>CUENTA</w:t>
            </w:r>
          </w:p>
        </w:tc>
        <w:tc>
          <w:tcPr>
            <w:tcW w:w="2260" w:type="dxa"/>
            <w:shd w:val="clear" w:color="auto" w:fill="365F91" w:themeFill="accent1" w:themeFillShade="BF"/>
            <w:noWrap/>
            <w:vAlign w:val="center"/>
          </w:tcPr>
          <w:p w14:paraId="09FE2F8D" w14:textId="6CA315F4" w:rsidR="0022178E" w:rsidRPr="00933A23" w:rsidRDefault="0022178E" w:rsidP="0022178E">
            <w:pPr>
              <w:spacing w:line="240" w:lineRule="exact"/>
              <w:jc w:val="center"/>
              <w:rPr>
                <w:rFonts w:ascii="Arial" w:eastAsia="Calibri" w:hAnsi="Arial" w:cs="Arial"/>
                <w:b/>
                <w:color w:val="FFFFFF" w:themeColor="background1"/>
                <w:spacing w:val="-1"/>
                <w:sz w:val="20"/>
                <w:szCs w:val="20"/>
              </w:rPr>
            </w:pPr>
            <w:r w:rsidRPr="00933A23">
              <w:rPr>
                <w:rFonts w:ascii="Arial" w:eastAsia="Calibri" w:hAnsi="Arial" w:cs="Arial"/>
                <w:color w:val="FFFFFF" w:themeColor="background1"/>
                <w:spacing w:val="-1"/>
                <w:sz w:val="20"/>
                <w:szCs w:val="20"/>
              </w:rPr>
              <w:t xml:space="preserve"> </w:t>
            </w:r>
            <w:r w:rsidRPr="00933A23">
              <w:rPr>
                <w:rFonts w:ascii="Arial" w:eastAsia="Calibri" w:hAnsi="Arial" w:cs="Arial"/>
                <w:b/>
                <w:color w:val="FFFFFF" w:themeColor="background1"/>
                <w:spacing w:val="-1"/>
                <w:sz w:val="20"/>
                <w:szCs w:val="20"/>
              </w:rPr>
              <w:t>SALDO</w:t>
            </w:r>
          </w:p>
        </w:tc>
      </w:tr>
      <w:tr w:rsidR="002D076B" w:rsidRPr="00933A23" w14:paraId="3FC901BB" w14:textId="77777777" w:rsidTr="00FD765B">
        <w:trPr>
          <w:trHeight w:val="381"/>
          <w:jc w:val="center"/>
        </w:trPr>
        <w:tc>
          <w:tcPr>
            <w:tcW w:w="5427" w:type="dxa"/>
            <w:shd w:val="clear" w:color="auto" w:fill="auto"/>
            <w:noWrap/>
          </w:tcPr>
          <w:p w14:paraId="07C9589C" w14:textId="61B8D26C" w:rsidR="0022178E" w:rsidRPr="00933A23" w:rsidRDefault="0022178E" w:rsidP="0022178E">
            <w:pPr>
              <w:spacing w:line="240" w:lineRule="exact"/>
              <w:ind w:left="34"/>
              <w:jc w:val="both"/>
              <w:rPr>
                <w:rFonts w:ascii="Arial" w:eastAsia="Calibri" w:hAnsi="Arial" w:cs="Arial"/>
                <w:spacing w:val="-1"/>
                <w:sz w:val="20"/>
                <w:szCs w:val="20"/>
              </w:rPr>
            </w:pPr>
            <w:r w:rsidRPr="00933A23">
              <w:rPr>
                <w:rFonts w:ascii="Arial" w:eastAsia="Calibri" w:hAnsi="Arial" w:cs="Arial"/>
                <w:spacing w:val="-1"/>
                <w:sz w:val="20"/>
                <w:szCs w:val="20"/>
              </w:rPr>
              <w:t xml:space="preserve"> P</w:t>
            </w:r>
            <w:r w:rsidR="008B3523" w:rsidRPr="00933A23">
              <w:rPr>
                <w:rFonts w:ascii="Arial" w:eastAsia="Calibri" w:hAnsi="Arial" w:cs="Arial"/>
                <w:spacing w:val="-1"/>
                <w:sz w:val="20"/>
                <w:szCs w:val="20"/>
              </w:rPr>
              <w:t>RESUPUESTO DE EGRESOS APROBADO</w:t>
            </w:r>
          </w:p>
        </w:tc>
        <w:tc>
          <w:tcPr>
            <w:tcW w:w="2260" w:type="dxa"/>
            <w:shd w:val="clear" w:color="auto" w:fill="auto"/>
            <w:noWrap/>
          </w:tcPr>
          <w:p w14:paraId="52591D61" w14:textId="6607609C" w:rsidR="002D076B" w:rsidRPr="00933A23" w:rsidRDefault="009379A7" w:rsidP="002E2E98">
            <w:pPr>
              <w:spacing w:line="240" w:lineRule="exact"/>
              <w:jc w:val="right"/>
              <w:rPr>
                <w:rFonts w:ascii="Arial" w:eastAsia="Calibri" w:hAnsi="Arial" w:cs="Arial"/>
                <w:spacing w:val="-1"/>
                <w:sz w:val="20"/>
                <w:szCs w:val="20"/>
              </w:rPr>
            </w:pPr>
            <w:r>
              <w:rPr>
                <w:rFonts w:ascii="Arial" w:eastAsia="Calibri" w:hAnsi="Arial" w:cs="Arial"/>
                <w:spacing w:val="-1"/>
                <w:sz w:val="20"/>
                <w:szCs w:val="20"/>
              </w:rPr>
              <w:t>49,246,711.1</w:t>
            </w:r>
          </w:p>
        </w:tc>
      </w:tr>
      <w:tr w:rsidR="008B3523" w:rsidRPr="00933A23" w14:paraId="4B2C0297" w14:textId="77777777" w:rsidTr="00FD765B">
        <w:trPr>
          <w:trHeight w:val="381"/>
          <w:jc w:val="center"/>
        </w:trPr>
        <w:tc>
          <w:tcPr>
            <w:tcW w:w="5427" w:type="dxa"/>
            <w:shd w:val="clear" w:color="auto" w:fill="auto"/>
            <w:noWrap/>
          </w:tcPr>
          <w:p w14:paraId="1D544791" w14:textId="66AA0C77" w:rsidR="008B3523" w:rsidRPr="00933A23" w:rsidRDefault="008B3523" w:rsidP="008B3523">
            <w:pPr>
              <w:spacing w:line="240" w:lineRule="exact"/>
              <w:ind w:left="34"/>
              <w:jc w:val="both"/>
              <w:rPr>
                <w:rFonts w:ascii="Arial" w:eastAsia="Calibri" w:hAnsi="Arial" w:cs="Arial"/>
                <w:spacing w:val="-1"/>
                <w:sz w:val="20"/>
                <w:szCs w:val="20"/>
              </w:rPr>
            </w:pPr>
            <w:r w:rsidRPr="00933A23">
              <w:rPr>
                <w:rFonts w:ascii="Arial" w:eastAsia="Calibri" w:hAnsi="Arial" w:cs="Arial"/>
                <w:spacing w:val="-1"/>
                <w:sz w:val="20"/>
                <w:szCs w:val="20"/>
              </w:rPr>
              <w:t xml:space="preserve"> PRESUPUESTO DE EGRESOS MODIFICADO</w:t>
            </w:r>
          </w:p>
        </w:tc>
        <w:tc>
          <w:tcPr>
            <w:tcW w:w="2260" w:type="dxa"/>
            <w:shd w:val="clear" w:color="auto" w:fill="auto"/>
            <w:noWrap/>
          </w:tcPr>
          <w:p w14:paraId="454A36FB" w14:textId="25A641B1" w:rsidR="008B3523" w:rsidRPr="00933A23" w:rsidRDefault="0090389C" w:rsidP="002E2E98">
            <w:pPr>
              <w:spacing w:line="240" w:lineRule="exact"/>
              <w:ind w:left="81"/>
              <w:jc w:val="right"/>
              <w:rPr>
                <w:rFonts w:ascii="Arial" w:eastAsia="Calibri" w:hAnsi="Arial" w:cs="Arial"/>
                <w:spacing w:val="-1"/>
                <w:sz w:val="20"/>
                <w:szCs w:val="20"/>
              </w:rPr>
            </w:pPr>
            <w:r>
              <w:rPr>
                <w:rFonts w:ascii="Arial" w:eastAsia="Calibri" w:hAnsi="Arial" w:cs="Arial"/>
                <w:spacing w:val="-1"/>
                <w:sz w:val="20"/>
                <w:szCs w:val="20"/>
              </w:rPr>
              <w:t>60,609,017.6</w:t>
            </w:r>
          </w:p>
        </w:tc>
      </w:tr>
      <w:tr w:rsidR="008B3523" w:rsidRPr="00933A23" w14:paraId="2F1342EA" w14:textId="77777777" w:rsidTr="00FD765B">
        <w:trPr>
          <w:trHeight w:val="381"/>
          <w:jc w:val="center"/>
        </w:trPr>
        <w:tc>
          <w:tcPr>
            <w:tcW w:w="5427" w:type="dxa"/>
            <w:shd w:val="clear" w:color="auto" w:fill="auto"/>
            <w:noWrap/>
          </w:tcPr>
          <w:p w14:paraId="726C38AA" w14:textId="26B7D081" w:rsidR="008B3523" w:rsidRPr="00933A23" w:rsidRDefault="008B3523" w:rsidP="008B3523">
            <w:pPr>
              <w:spacing w:line="240" w:lineRule="exact"/>
              <w:ind w:left="34"/>
              <w:jc w:val="both"/>
              <w:rPr>
                <w:rFonts w:ascii="Arial" w:eastAsia="Calibri" w:hAnsi="Arial" w:cs="Arial"/>
                <w:spacing w:val="-1"/>
                <w:sz w:val="20"/>
                <w:szCs w:val="20"/>
              </w:rPr>
            </w:pPr>
            <w:r w:rsidRPr="00933A23">
              <w:rPr>
                <w:rFonts w:ascii="Arial" w:eastAsia="Calibri" w:hAnsi="Arial" w:cs="Arial"/>
                <w:spacing w:val="-1"/>
                <w:sz w:val="20"/>
                <w:szCs w:val="20"/>
              </w:rPr>
              <w:t xml:space="preserve"> PRESUPUESTO DE EGRESOS COMPROMETIDO</w:t>
            </w:r>
          </w:p>
        </w:tc>
        <w:tc>
          <w:tcPr>
            <w:tcW w:w="2260" w:type="dxa"/>
            <w:shd w:val="clear" w:color="auto" w:fill="auto"/>
            <w:noWrap/>
          </w:tcPr>
          <w:p w14:paraId="3CC6BB7B" w14:textId="1CDE42FC" w:rsidR="008B3523" w:rsidRPr="00933A23" w:rsidRDefault="0090389C" w:rsidP="002E2E98">
            <w:pPr>
              <w:spacing w:line="240" w:lineRule="exact"/>
              <w:ind w:left="81"/>
              <w:jc w:val="right"/>
              <w:rPr>
                <w:rFonts w:ascii="Arial" w:eastAsia="Calibri" w:hAnsi="Arial" w:cs="Arial"/>
                <w:spacing w:val="-1"/>
                <w:sz w:val="20"/>
                <w:szCs w:val="20"/>
              </w:rPr>
            </w:pPr>
            <w:r>
              <w:rPr>
                <w:rFonts w:ascii="Arial" w:eastAsia="Calibri" w:hAnsi="Arial" w:cs="Arial"/>
                <w:spacing w:val="-1"/>
                <w:sz w:val="20"/>
                <w:szCs w:val="20"/>
              </w:rPr>
              <w:t xml:space="preserve">            60,609,017.6</w:t>
            </w:r>
          </w:p>
        </w:tc>
      </w:tr>
      <w:tr w:rsidR="008B3523" w:rsidRPr="00933A23" w14:paraId="45AFA00A" w14:textId="77777777" w:rsidTr="00FD765B">
        <w:trPr>
          <w:trHeight w:val="381"/>
          <w:jc w:val="center"/>
        </w:trPr>
        <w:tc>
          <w:tcPr>
            <w:tcW w:w="5427" w:type="dxa"/>
            <w:shd w:val="clear" w:color="auto" w:fill="auto"/>
            <w:noWrap/>
          </w:tcPr>
          <w:p w14:paraId="10FACDB2" w14:textId="53C09D93" w:rsidR="008B3523" w:rsidRPr="00933A23" w:rsidRDefault="008B3523" w:rsidP="008B3523">
            <w:pPr>
              <w:spacing w:line="240" w:lineRule="exact"/>
              <w:ind w:left="34"/>
              <w:jc w:val="both"/>
              <w:rPr>
                <w:rFonts w:ascii="Arial" w:eastAsia="Calibri" w:hAnsi="Arial" w:cs="Arial"/>
                <w:spacing w:val="-1"/>
                <w:sz w:val="20"/>
                <w:szCs w:val="20"/>
              </w:rPr>
            </w:pPr>
            <w:r w:rsidRPr="00933A23">
              <w:rPr>
                <w:rFonts w:ascii="Arial" w:eastAsia="Calibri" w:hAnsi="Arial" w:cs="Arial"/>
                <w:spacing w:val="-1"/>
                <w:sz w:val="20"/>
                <w:szCs w:val="20"/>
              </w:rPr>
              <w:t xml:space="preserve"> PRESUPUESTO DE EGRESOS DEVENGADO</w:t>
            </w:r>
          </w:p>
        </w:tc>
        <w:tc>
          <w:tcPr>
            <w:tcW w:w="2260" w:type="dxa"/>
            <w:shd w:val="clear" w:color="auto" w:fill="auto"/>
            <w:noWrap/>
          </w:tcPr>
          <w:p w14:paraId="00B1F278" w14:textId="4A8069CD" w:rsidR="008B3523" w:rsidRPr="00933A23" w:rsidRDefault="00CE0562" w:rsidP="002E2E98">
            <w:pPr>
              <w:spacing w:line="240" w:lineRule="exact"/>
              <w:ind w:left="81"/>
              <w:jc w:val="right"/>
              <w:rPr>
                <w:rFonts w:ascii="Arial" w:eastAsia="Calibri" w:hAnsi="Arial" w:cs="Arial"/>
                <w:spacing w:val="-1"/>
                <w:sz w:val="20"/>
                <w:szCs w:val="20"/>
              </w:rPr>
            </w:pPr>
            <w:r>
              <w:rPr>
                <w:rFonts w:ascii="Arial" w:eastAsia="Calibri" w:hAnsi="Arial" w:cs="Arial"/>
                <w:spacing w:val="-1"/>
                <w:sz w:val="20"/>
                <w:szCs w:val="20"/>
              </w:rPr>
              <w:t>58,524,723.2</w:t>
            </w:r>
          </w:p>
        </w:tc>
      </w:tr>
      <w:tr w:rsidR="008B3523" w:rsidRPr="00933A23" w14:paraId="6C75FDAF" w14:textId="77777777" w:rsidTr="00FD765B">
        <w:trPr>
          <w:trHeight w:val="381"/>
          <w:jc w:val="center"/>
        </w:trPr>
        <w:tc>
          <w:tcPr>
            <w:tcW w:w="5427" w:type="dxa"/>
            <w:shd w:val="clear" w:color="auto" w:fill="auto"/>
            <w:noWrap/>
          </w:tcPr>
          <w:p w14:paraId="031A2565" w14:textId="4B0DE7B0" w:rsidR="008B3523" w:rsidRPr="00933A23" w:rsidRDefault="008B3523" w:rsidP="008B3523">
            <w:pPr>
              <w:spacing w:line="240" w:lineRule="exact"/>
              <w:ind w:left="34"/>
              <w:jc w:val="both"/>
              <w:rPr>
                <w:rFonts w:ascii="Arial" w:eastAsia="Calibri" w:hAnsi="Arial" w:cs="Arial"/>
                <w:spacing w:val="-1"/>
                <w:sz w:val="20"/>
                <w:szCs w:val="20"/>
              </w:rPr>
            </w:pPr>
            <w:r w:rsidRPr="00933A23">
              <w:rPr>
                <w:rFonts w:ascii="Arial" w:eastAsia="Calibri" w:hAnsi="Arial" w:cs="Arial"/>
                <w:spacing w:val="-1"/>
                <w:sz w:val="20"/>
                <w:szCs w:val="20"/>
              </w:rPr>
              <w:t xml:space="preserve"> PRESUPUESTO DE EGRESOS EJERCIDO</w:t>
            </w:r>
          </w:p>
        </w:tc>
        <w:tc>
          <w:tcPr>
            <w:tcW w:w="2260" w:type="dxa"/>
            <w:shd w:val="clear" w:color="auto" w:fill="auto"/>
            <w:noWrap/>
          </w:tcPr>
          <w:p w14:paraId="1D193E41" w14:textId="3ECFE16F" w:rsidR="008B3523" w:rsidRPr="00933A23" w:rsidRDefault="00CE0562" w:rsidP="002E2E98">
            <w:pPr>
              <w:spacing w:line="240" w:lineRule="exact"/>
              <w:ind w:left="81"/>
              <w:jc w:val="right"/>
              <w:rPr>
                <w:rFonts w:ascii="Arial" w:eastAsia="Calibri" w:hAnsi="Arial" w:cs="Arial"/>
                <w:spacing w:val="-1"/>
                <w:sz w:val="20"/>
                <w:szCs w:val="20"/>
              </w:rPr>
            </w:pPr>
            <w:r>
              <w:rPr>
                <w:rFonts w:ascii="Arial" w:eastAsia="Calibri" w:hAnsi="Arial" w:cs="Arial"/>
                <w:spacing w:val="-1"/>
                <w:sz w:val="20"/>
                <w:szCs w:val="20"/>
              </w:rPr>
              <w:t>57,994,556.4</w:t>
            </w:r>
          </w:p>
        </w:tc>
      </w:tr>
      <w:tr w:rsidR="008B3523" w:rsidRPr="00933A23" w14:paraId="0652C758" w14:textId="77777777" w:rsidTr="00FD765B">
        <w:trPr>
          <w:trHeight w:val="381"/>
          <w:jc w:val="center"/>
        </w:trPr>
        <w:tc>
          <w:tcPr>
            <w:tcW w:w="5427" w:type="dxa"/>
            <w:shd w:val="clear" w:color="auto" w:fill="auto"/>
            <w:noWrap/>
          </w:tcPr>
          <w:p w14:paraId="5AEBC616" w14:textId="54488EFD" w:rsidR="008B3523" w:rsidRPr="00933A23" w:rsidRDefault="008B3523" w:rsidP="008B3523">
            <w:pPr>
              <w:spacing w:line="240" w:lineRule="exact"/>
              <w:ind w:left="34"/>
              <w:jc w:val="both"/>
              <w:rPr>
                <w:rFonts w:ascii="Arial" w:eastAsia="Calibri" w:hAnsi="Arial" w:cs="Arial"/>
                <w:spacing w:val="-1"/>
                <w:sz w:val="20"/>
                <w:szCs w:val="20"/>
              </w:rPr>
            </w:pPr>
            <w:r w:rsidRPr="00933A23">
              <w:rPr>
                <w:rFonts w:ascii="Arial" w:eastAsia="Calibri" w:hAnsi="Arial" w:cs="Arial"/>
                <w:spacing w:val="-1"/>
                <w:sz w:val="20"/>
                <w:szCs w:val="20"/>
              </w:rPr>
              <w:t xml:space="preserve"> PRESUPUESTO DE EGRESOS PAGADO</w:t>
            </w:r>
          </w:p>
        </w:tc>
        <w:tc>
          <w:tcPr>
            <w:tcW w:w="2260" w:type="dxa"/>
            <w:shd w:val="clear" w:color="auto" w:fill="auto"/>
            <w:noWrap/>
          </w:tcPr>
          <w:p w14:paraId="221B2478" w14:textId="0061EE16" w:rsidR="008B3523" w:rsidRPr="00933A23" w:rsidRDefault="0090389C" w:rsidP="002E2E98">
            <w:pPr>
              <w:spacing w:line="240" w:lineRule="exact"/>
              <w:ind w:left="81"/>
              <w:jc w:val="right"/>
              <w:rPr>
                <w:rFonts w:ascii="Arial" w:eastAsia="Calibri" w:hAnsi="Arial" w:cs="Arial"/>
                <w:spacing w:val="-1"/>
                <w:sz w:val="20"/>
                <w:szCs w:val="20"/>
              </w:rPr>
            </w:pPr>
            <w:r>
              <w:rPr>
                <w:rFonts w:ascii="Arial" w:eastAsia="Calibri" w:hAnsi="Arial" w:cs="Arial"/>
                <w:spacing w:val="-1"/>
                <w:sz w:val="20"/>
                <w:szCs w:val="20"/>
              </w:rPr>
              <w:t>57,994,556</w:t>
            </w:r>
            <w:r w:rsidR="00295C95" w:rsidRPr="00933A23">
              <w:rPr>
                <w:rFonts w:ascii="Arial" w:eastAsia="Calibri" w:hAnsi="Arial" w:cs="Arial"/>
                <w:spacing w:val="-1"/>
                <w:sz w:val="20"/>
                <w:szCs w:val="20"/>
              </w:rPr>
              <w:t>.4</w:t>
            </w:r>
          </w:p>
        </w:tc>
      </w:tr>
    </w:tbl>
    <w:p w14:paraId="7D9B6D2E" w14:textId="77777777" w:rsidR="002D076B" w:rsidRPr="00933A23" w:rsidRDefault="002D076B" w:rsidP="002D076B">
      <w:pPr>
        <w:spacing w:before="120" w:after="120" w:line="240" w:lineRule="exact"/>
        <w:jc w:val="both"/>
        <w:rPr>
          <w:rFonts w:ascii="Soberana Sans" w:eastAsia="Calibri" w:hAnsi="Soberana Sans" w:cs="Arial"/>
          <w:spacing w:val="-1"/>
          <w:sz w:val="20"/>
          <w:szCs w:val="20"/>
        </w:rPr>
      </w:pPr>
    </w:p>
    <w:p w14:paraId="427278F5" w14:textId="77777777" w:rsidR="00FE6BF1" w:rsidRPr="00933A23" w:rsidRDefault="00FE6BF1" w:rsidP="00E64251">
      <w:pPr>
        <w:spacing w:after="120" w:line="360" w:lineRule="auto"/>
        <w:jc w:val="both"/>
        <w:rPr>
          <w:rFonts w:ascii="Arial" w:hAnsi="Arial" w:cs="Arial"/>
          <w:sz w:val="20"/>
          <w:szCs w:val="20"/>
        </w:rPr>
      </w:pPr>
    </w:p>
    <w:p w14:paraId="5D8AD6A1" w14:textId="1050E3F1" w:rsidR="008B2853" w:rsidRPr="00933A23" w:rsidRDefault="008B2853" w:rsidP="008B2853">
      <w:pPr>
        <w:spacing w:after="120" w:line="360" w:lineRule="auto"/>
        <w:jc w:val="center"/>
        <w:rPr>
          <w:rFonts w:ascii="Arial" w:hAnsi="Arial" w:cs="Arial"/>
          <w:b/>
          <w:sz w:val="20"/>
          <w:szCs w:val="20"/>
        </w:rPr>
      </w:pPr>
      <w:r w:rsidRPr="00933A23">
        <w:rPr>
          <w:rFonts w:ascii="Arial" w:hAnsi="Arial" w:cs="Arial"/>
          <w:b/>
          <w:sz w:val="20"/>
          <w:szCs w:val="20"/>
        </w:rPr>
        <w:t>NOTAS DE GESTIÓN ADMINISTRATIVA</w:t>
      </w:r>
    </w:p>
    <w:p w14:paraId="5AA4FF9A" w14:textId="77777777" w:rsidR="008C1781" w:rsidRPr="002745B7" w:rsidRDefault="008C1781" w:rsidP="008C1781">
      <w:pPr>
        <w:spacing w:line="360" w:lineRule="auto"/>
        <w:jc w:val="both"/>
        <w:rPr>
          <w:rFonts w:ascii="Arial" w:hAnsi="Arial" w:cs="Arial"/>
          <w:sz w:val="22"/>
        </w:rPr>
      </w:pPr>
    </w:p>
    <w:p w14:paraId="06EE8E51" w14:textId="16FAFB2D" w:rsidR="008C1781" w:rsidRDefault="008C1781" w:rsidP="008C1781">
      <w:pPr>
        <w:spacing w:line="360" w:lineRule="auto"/>
        <w:jc w:val="both"/>
        <w:rPr>
          <w:rFonts w:ascii="Arial" w:hAnsi="Arial" w:cs="Arial"/>
          <w:sz w:val="22"/>
        </w:rPr>
      </w:pPr>
      <w:r>
        <w:rPr>
          <w:rFonts w:ascii="Arial" w:hAnsi="Arial" w:cs="Arial"/>
          <w:sz w:val="22"/>
        </w:rPr>
        <w:t xml:space="preserve">Las </w:t>
      </w:r>
      <w:r w:rsidRPr="002745B7">
        <w:rPr>
          <w:rFonts w:ascii="Arial" w:hAnsi="Arial" w:cs="Arial"/>
          <w:sz w:val="22"/>
        </w:rPr>
        <w:t>Notas de gestión administrativa,</w:t>
      </w:r>
      <w:r w:rsidRPr="002745B7">
        <w:rPr>
          <w:sz w:val="22"/>
        </w:rPr>
        <w:t xml:space="preserve"> </w:t>
      </w:r>
      <w:r w:rsidRPr="002745B7">
        <w:rPr>
          <w:rFonts w:ascii="Arial" w:hAnsi="Arial" w:cs="Arial"/>
          <w:sz w:val="22"/>
        </w:rPr>
        <w:t>revela</w:t>
      </w:r>
      <w:r>
        <w:rPr>
          <w:rFonts w:ascii="Arial" w:hAnsi="Arial" w:cs="Arial"/>
          <w:sz w:val="22"/>
        </w:rPr>
        <w:t>n</w:t>
      </w:r>
      <w:r w:rsidRPr="002745B7">
        <w:rPr>
          <w:rFonts w:ascii="Arial" w:hAnsi="Arial" w:cs="Arial"/>
          <w:sz w:val="22"/>
        </w:rPr>
        <w:t xml:space="preserve"> el contexto de los aspectos económicos-financieros más relevantes que influyeron en las decisiones del período, para la mayor comprensión de los mismos y sus particularidades. Se informa y explica la respuesta del gobierno a las condiciones relacionadas con la información financiera de cada período de gestión; además, de exponer aquellas políticas que podrían afectar la toma de decisiones en períodos posteriores.</w:t>
      </w:r>
    </w:p>
    <w:p w14:paraId="4634D7AE" w14:textId="77777777" w:rsidR="008C1781" w:rsidRPr="00933A23" w:rsidRDefault="008C1781" w:rsidP="00E64251">
      <w:pPr>
        <w:spacing w:after="120" w:line="360" w:lineRule="auto"/>
        <w:jc w:val="both"/>
        <w:rPr>
          <w:rFonts w:ascii="Arial" w:hAnsi="Arial" w:cs="Arial"/>
          <w:sz w:val="20"/>
          <w:szCs w:val="20"/>
        </w:rPr>
      </w:pPr>
    </w:p>
    <w:p w14:paraId="2A488AED" w14:textId="77777777" w:rsidR="008B2853" w:rsidRPr="00FD765B" w:rsidRDefault="008B2853" w:rsidP="00923DC6">
      <w:pPr>
        <w:autoSpaceDE w:val="0"/>
        <w:autoSpaceDN w:val="0"/>
        <w:adjustRightInd w:val="0"/>
        <w:spacing w:before="240" w:after="120" w:line="360" w:lineRule="auto"/>
        <w:jc w:val="both"/>
        <w:rPr>
          <w:rFonts w:ascii="Arial" w:hAnsi="Arial" w:cs="Arial"/>
          <w:b/>
          <w:sz w:val="22"/>
          <w:szCs w:val="20"/>
        </w:rPr>
      </w:pPr>
      <w:r w:rsidRPr="00FD765B">
        <w:rPr>
          <w:rFonts w:ascii="Arial" w:hAnsi="Arial" w:cs="Arial"/>
          <w:b/>
          <w:sz w:val="22"/>
          <w:szCs w:val="20"/>
        </w:rPr>
        <w:t>Autorización e Historia</w:t>
      </w:r>
    </w:p>
    <w:p w14:paraId="1EF74CC9" w14:textId="77777777" w:rsidR="004E337F" w:rsidRPr="00FD765B" w:rsidRDefault="004E337F" w:rsidP="00923DC6">
      <w:pPr>
        <w:autoSpaceDE w:val="0"/>
        <w:autoSpaceDN w:val="0"/>
        <w:adjustRightInd w:val="0"/>
        <w:spacing w:before="240" w:after="120" w:line="360" w:lineRule="auto"/>
        <w:jc w:val="both"/>
        <w:rPr>
          <w:rFonts w:ascii="Arial" w:hAnsi="Arial" w:cs="Arial"/>
          <w:b/>
          <w:sz w:val="22"/>
          <w:szCs w:val="20"/>
        </w:rPr>
      </w:pPr>
    </w:p>
    <w:p w14:paraId="104976BE" w14:textId="1B5A1A4E" w:rsidR="004E337F" w:rsidRPr="00FD765B" w:rsidRDefault="0064010B" w:rsidP="00923DC6">
      <w:pPr>
        <w:autoSpaceDE w:val="0"/>
        <w:autoSpaceDN w:val="0"/>
        <w:adjustRightInd w:val="0"/>
        <w:spacing w:before="240" w:after="120" w:line="360" w:lineRule="auto"/>
        <w:jc w:val="both"/>
        <w:rPr>
          <w:rFonts w:ascii="Arial" w:hAnsi="Arial" w:cs="Arial"/>
          <w:sz w:val="22"/>
          <w:szCs w:val="20"/>
        </w:rPr>
      </w:pPr>
      <w:r w:rsidRPr="00FD765B">
        <w:rPr>
          <w:rFonts w:ascii="Arial" w:hAnsi="Arial" w:cs="Arial"/>
          <w:sz w:val="22"/>
          <w:szCs w:val="20"/>
        </w:rPr>
        <w:t>A</w:t>
      </w:r>
      <w:r w:rsidR="004E337F" w:rsidRPr="00FD765B">
        <w:rPr>
          <w:rFonts w:ascii="Arial" w:hAnsi="Arial" w:cs="Arial"/>
          <w:sz w:val="22"/>
          <w:szCs w:val="20"/>
        </w:rPr>
        <w:t xml:space="preserve"> la entrada en vigor de la Ley de Disciplina Financiera de las Entidades Federativas y Municipios</w:t>
      </w:r>
      <w:r w:rsidRPr="00FD765B">
        <w:rPr>
          <w:rFonts w:ascii="Arial" w:hAnsi="Arial" w:cs="Arial"/>
          <w:sz w:val="22"/>
          <w:szCs w:val="20"/>
        </w:rPr>
        <w:t>,</w:t>
      </w:r>
      <w:r w:rsidR="004E337F" w:rsidRPr="00FD765B">
        <w:rPr>
          <w:rFonts w:ascii="Arial" w:hAnsi="Arial" w:cs="Arial"/>
          <w:sz w:val="22"/>
          <w:szCs w:val="20"/>
        </w:rPr>
        <w:t xml:space="preserve"> </w:t>
      </w:r>
      <w:r w:rsidRPr="00FD765B">
        <w:rPr>
          <w:rFonts w:ascii="Arial" w:hAnsi="Arial" w:cs="Arial"/>
          <w:sz w:val="22"/>
          <w:szCs w:val="20"/>
        </w:rPr>
        <w:t xml:space="preserve">se </w:t>
      </w:r>
      <w:r w:rsidR="004E337F" w:rsidRPr="00FD765B">
        <w:rPr>
          <w:rFonts w:ascii="Arial" w:hAnsi="Arial" w:cs="Arial"/>
          <w:sz w:val="22"/>
          <w:szCs w:val="20"/>
        </w:rPr>
        <w:t xml:space="preserve">ha permitido </w:t>
      </w:r>
      <w:r w:rsidR="002F5E9A" w:rsidRPr="00FD765B">
        <w:rPr>
          <w:rFonts w:ascii="Arial" w:hAnsi="Arial" w:cs="Arial"/>
          <w:sz w:val="22"/>
          <w:szCs w:val="20"/>
        </w:rPr>
        <w:t>replantear y orientar los recursos contenidos en los presupuestos en base a reglas y principios específicos y sobre todo ha permitido proporciona</w:t>
      </w:r>
      <w:r w:rsidRPr="00FD765B">
        <w:rPr>
          <w:rFonts w:ascii="Arial" w:hAnsi="Arial" w:cs="Arial"/>
          <w:sz w:val="22"/>
          <w:szCs w:val="20"/>
        </w:rPr>
        <w:t>r</w:t>
      </w:r>
      <w:r w:rsidR="002F5E9A" w:rsidRPr="00FD765B">
        <w:rPr>
          <w:rFonts w:ascii="Arial" w:hAnsi="Arial" w:cs="Arial"/>
          <w:sz w:val="22"/>
          <w:szCs w:val="20"/>
        </w:rPr>
        <w:t xml:space="preserve"> elementos a seguir para una mayor eficiencia, eficacia, economía y honradez en el manejo y el ejercicio del gasto público.</w:t>
      </w:r>
      <w:r w:rsidR="004E337F" w:rsidRPr="00FD765B">
        <w:rPr>
          <w:rFonts w:ascii="Arial" w:hAnsi="Arial" w:cs="Arial"/>
          <w:sz w:val="22"/>
          <w:szCs w:val="20"/>
        </w:rPr>
        <w:t xml:space="preserve"> </w:t>
      </w:r>
    </w:p>
    <w:p w14:paraId="5026CF10" w14:textId="77777777" w:rsidR="00FE6BF1" w:rsidRDefault="00FE6BF1" w:rsidP="00923DC6">
      <w:pPr>
        <w:autoSpaceDE w:val="0"/>
        <w:autoSpaceDN w:val="0"/>
        <w:adjustRightInd w:val="0"/>
        <w:spacing w:before="240" w:after="120" w:line="360" w:lineRule="auto"/>
        <w:jc w:val="both"/>
        <w:rPr>
          <w:rFonts w:ascii="Arial" w:hAnsi="Arial" w:cs="Arial"/>
          <w:b/>
          <w:sz w:val="20"/>
          <w:szCs w:val="20"/>
        </w:rPr>
      </w:pPr>
    </w:p>
    <w:p w14:paraId="1A7D9199" w14:textId="77777777" w:rsidR="00D26F77" w:rsidRPr="00933A23" w:rsidRDefault="00D26F77" w:rsidP="00923DC6">
      <w:pPr>
        <w:autoSpaceDE w:val="0"/>
        <w:autoSpaceDN w:val="0"/>
        <w:adjustRightInd w:val="0"/>
        <w:spacing w:before="240" w:after="120" w:line="360" w:lineRule="auto"/>
        <w:jc w:val="both"/>
        <w:rPr>
          <w:rFonts w:ascii="Arial" w:hAnsi="Arial" w:cs="Arial"/>
          <w:b/>
          <w:sz w:val="20"/>
          <w:szCs w:val="20"/>
        </w:rPr>
      </w:pPr>
    </w:p>
    <w:p w14:paraId="39D0DCC8" w14:textId="77777777" w:rsidR="00FE6BF1" w:rsidRPr="00933A23" w:rsidRDefault="00FE6BF1" w:rsidP="008B2853">
      <w:pPr>
        <w:ind w:firstLine="708"/>
        <w:rPr>
          <w:rFonts w:ascii="Arial" w:hAnsi="Arial" w:cs="Arial"/>
          <w:sz w:val="20"/>
          <w:szCs w:val="20"/>
        </w:rPr>
      </w:pPr>
    </w:p>
    <w:p w14:paraId="044EA58F" w14:textId="77777777" w:rsidR="008B2853" w:rsidRPr="00FD765B" w:rsidRDefault="008B2853" w:rsidP="00923DC6">
      <w:pPr>
        <w:autoSpaceDE w:val="0"/>
        <w:autoSpaceDN w:val="0"/>
        <w:adjustRightInd w:val="0"/>
        <w:spacing w:before="240" w:after="120" w:line="360" w:lineRule="auto"/>
        <w:jc w:val="both"/>
        <w:rPr>
          <w:rFonts w:ascii="Arial" w:hAnsi="Arial" w:cs="Arial"/>
          <w:b/>
          <w:sz w:val="22"/>
          <w:szCs w:val="20"/>
        </w:rPr>
      </w:pPr>
      <w:r w:rsidRPr="00FD765B">
        <w:rPr>
          <w:rFonts w:ascii="Arial" w:hAnsi="Arial" w:cs="Arial"/>
          <w:b/>
          <w:sz w:val="22"/>
          <w:szCs w:val="20"/>
        </w:rPr>
        <w:t>Bases de Preparación de los Estados Financieros</w:t>
      </w:r>
    </w:p>
    <w:p w14:paraId="7BE275DF" w14:textId="77777777" w:rsidR="00FE6BF1" w:rsidRPr="00FD765B" w:rsidRDefault="00FE6BF1" w:rsidP="00923DC6">
      <w:pPr>
        <w:autoSpaceDE w:val="0"/>
        <w:autoSpaceDN w:val="0"/>
        <w:adjustRightInd w:val="0"/>
        <w:spacing w:before="240" w:after="120" w:line="360" w:lineRule="auto"/>
        <w:jc w:val="both"/>
        <w:rPr>
          <w:rFonts w:ascii="Arial" w:hAnsi="Arial" w:cs="Arial"/>
          <w:b/>
          <w:sz w:val="22"/>
          <w:szCs w:val="20"/>
        </w:rPr>
      </w:pPr>
    </w:p>
    <w:p w14:paraId="71F54323" w14:textId="7D50A31F" w:rsidR="00CA6507" w:rsidRPr="00FD765B" w:rsidRDefault="00CA6507" w:rsidP="00CA6507">
      <w:pPr>
        <w:pStyle w:val="Prrafodelista"/>
        <w:numPr>
          <w:ilvl w:val="0"/>
          <w:numId w:val="6"/>
        </w:numPr>
        <w:spacing w:before="80" w:after="0" w:line="360" w:lineRule="auto"/>
        <w:ind w:hanging="357"/>
        <w:contextualSpacing w:val="0"/>
        <w:jc w:val="both"/>
        <w:rPr>
          <w:rFonts w:ascii="Arial" w:eastAsia="Calibri" w:hAnsi="Arial" w:cs="Arial"/>
          <w:spacing w:val="-1"/>
          <w:szCs w:val="20"/>
        </w:rPr>
      </w:pPr>
      <w:r w:rsidRPr="00FD765B">
        <w:rPr>
          <w:rFonts w:ascii="Arial" w:eastAsia="Calibri" w:hAnsi="Arial" w:cs="Arial"/>
          <w:spacing w:val="-1"/>
          <w:szCs w:val="20"/>
        </w:rPr>
        <w:t>Los Estados Financieros del Poder Ejecutivo de la entidad se han elaborado observando las normas emitidas por el Consejo Nacional de Armonización Contable en el Manual de Contabilidad Gubernamental y las disposiciones legales aplicables.</w:t>
      </w:r>
    </w:p>
    <w:p w14:paraId="691D8415" w14:textId="00DDD100" w:rsidR="00CA6507" w:rsidRPr="00FD765B" w:rsidRDefault="00CA6507" w:rsidP="00CA6507">
      <w:pPr>
        <w:pStyle w:val="Prrafodelista"/>
        <w:numPr>
          <w:ilvl w:val="0"/>
          <w:numId w:val="6"/>
        </w:numPr>
        <w:spacing w:before="80" w:after="0" w:line="360" w:lineRule="auto"/>
        <w:ind w:hanging="357"/>
        <w:contextualSpacing w:val="0"/>
        <w:jc w:val="both"/>
        <w:rPr>
          <w:rFonts w:ascii="Arial" w:eastAsia="Calibri" w:hAnsi="Arial" w:cs="Arial"/>
          <w:spacing w:val="-1"/>
          <w:szCs w:val="20"/>
        </w:rPr>
      </w:pPr>
      <w:r w:rsidRPr="00FD765B">
        <w:rPr>
          <w:rFonts w:ascii="Arial" w:eastAsia="Calibri" w:hAnsi="Arial" w:cs="Arial"/>
          <w:spacing w:val="-1"/>
          <w:szCs w:val="20"/>
        </w:rPr>
        <w:t>El reconocimiento, se realizó considerando que todos los eventos que afectaron económicamente al poder ejecutivo fueron cuantificados en términos monetarios y se registraron al costo histórico o al valor económico más objetivo y en moneda nacional.</w:t>
      </w:r>
    </w:p>
    <w:p w14:paraId="2C6108E6" w14:textId="687E622A" w:rsidR="00CA6507" w:rsidRPr="00FD765B" w:rsidRDefault="00CA6507" w:rsidP="00CA6507">
      <w:pPr>
        <w:pStyle w:val="Prrafodelista"/>
        <w:numPr>
          <w:ilvl w:val="0"/>
          <w:numId w:val="6"/>
        </w:numPr>
        <w:spacing w:before="80" w:after="0" w:line="360" w:lineRule="auto"/>
        <w:ind w:hanging="357"/>
        <w:contextualSpacing w:val="0"/>
        <w:jc w:val="both"/>
        <w:rPr>
          <w:rFonts w:ascii="Arial" w:eastAsia="Calibri" w:hAnsi="Arial" w:cs="Arial"/>
          <w:spacing w:val="-1"/>
          <w:szCs w:val="20"/>
        </w:rPr>
      </w:pPr>
      <w:r w:rsidRPr="00FD765B">
        <w:rPr>
          <w:rFonts w:ascii="Arial" w:eastAsia="Calibri" w:hAnsi="Arial" w:cs="Arial"/>
          <w:spacing w:val="-1"/>
          <w:szCs w:val="20"/>
        </w:rPr>
        <w:t>Los estados financieros del Poder Ejecutivo fueron preparados en apego a los Postulados Básicos de Contabilidad Gubernamental emitidos por el Consejo Nacional de Armonización Contable y demás normatividad aplic</w:t>
      </w:r>
      <w:r w:rsidR="004B5AD9" w:rsidRPr="00FD765B">
        <w:rPr>
          <w:rFonts w:ascii="Arial" w:eastAsia="Calibri" w:hAnsi="Arial" w:cs="Arial"/>
          <w:spacing w:val="-1"/>
          <w:szCs w:val="20"/>
        </w:rPr>
        <w:t>able en la materia.</w:t>
      </w:r>
    </w:p>
    <w:p w14:paraId="2A013118" w14:textId="0AC51E38" w:rsidR="008B2853" w:rsidRPr="00933A23" w:rsidRDefault="008B2853" w:rsidP="008B2853">
      <w:pPr>
        <w:rPr>
          <w:rFonts w:ascii="Arial" w:hAnsi="Arial" w:cs="Arial"/>
          <w:sz w:val="20"/>
          <w:szCs w:val="20"/>
        </w:rPr>
      </w:pPr>
    </w:p>
    <w:p w14:paraId="7D29108B" w14:textId="77777777" w:rsidR="00FE6BF1" w:rsidRDefault="00FE6BF1" w:rsidP="00D33DFD">
      <w:pPr>
        <w:ind w:firstLine="708"/>
        <w:rPr>
          <w:rFonts w:ascii="Arial" w:hAnsi="Arial" w:cs="Arial"/>
          <w:sz w:val="20"/>
          <w:szCs w:val="20"/>
        </w:rPr>
      </w:pPr>
    </w:p>
    <w:p w14:paraId="45D52644" w14:textId="77777777" w:rsidR="00FD765B" w:rsidRDefault="00FD765B" w:rsidP="00D33DFD">
      <w:pPr>
        <w:ind w:firstLine="708"/>
        <w:rPr>
          <w:rFonts w:ascii="Arial" w:hAnsi="Arial" w:cs="Arial"/>
          <w:sz w:val="20"/>
          <w:szCs w:val="20"/>
        </w:rPr>
      </w:pPr>
    </w:p>
    <w:p w14:paraId="1D29DA45" w14:textId="77777777" w:rsidR="00FD765B" w:rsidRPr="00933A23" w:rsidRDefault="00FD765B" w:rsidP="00D33DFD">
      <w:pPr>
        <w:ind w:firstLine="708"/>
        <w:rPr>
          <w:rFonts w:ascii="Arial" w:hAnsi="Arial" w:cs="Arial"/>
          <w:sz w:val="20"/>
          <w:szCs w:val="20"/>
        </w:rPr>
      </w:pPr>
    </w:p>
    <w:p w14:paraId="7AEA1E36" w14:textId="77777777" w:rsidR="009E4FC0" w:rsidRPr="00933A23" w:rsidRDefault="009E4FC0" w:rsidP="00E30596">
      <w:pPr>
        <w:rPr>
          <w:rFonts w:ascii="Arial" w:hAnsi="Arial" w:cs="Arial"/>
          <w:sz w:val="20"/>
          <w:szCs w:val="20"/>
        </w:rPr>
      </w:pPr>
    </w:p>
    <w:p w14:paraId="121D575E" w14:textId="49938F79" w:rsidR="007851F3" w:rsidRPr="00FD765B" w:rsidRDefault="004E3D05" w:rsidP="007851F3">
      <w:pPr>
        <w:rPr>
          <w:rFonts w:ascii="Arial" w:hAnsi="Arial" w:cs="Arial"/>
          <w:b/>
          <w:sz w:val="22"/>
          <w:szCs w:val="20"/>
        </w:rPr>
      </w:pPr>
      <w:r w:rsidRPr="00FD765B">
        <w:rPr>
          <w:rFonts w:ascii="Arial" w:hAnsi="Arial" w:cs="Arial"/>
          <w:b/>
          <w:sz w:val="22"/>
          <w:szCs w:val="20"/>
        </w:rPr>
        <w:t>Deuda Pública</w:t>
      </w:r>
      <w:r w:rsidR="007851F3" w:rsidRPr="00FD765B">
        <w:rPr>
          <w:rFonts w:ascii="Arial" w:hAnsi="Arial" w:cs="Arial"/>
          <w:b/>
          <w:sz w:val="22"/>
          <w:szCs w:val="20"/>
        </w:rPr>
        <w:t xml:space="preserve"> </w:t>
      </w:r>
    </w:p>
    <w:p w14:paraId="2B6C9976" w14:textId="77777777" w:rsidR="00FE6BF1" w:rsidRPr="00FD765B" w:rsidRDefault="00FE6BF1" w:rsidP="007851F3">
      <w:pPr>
        <w:rPr>
          <w:rFonts w:ascii="Arial" w:hAnsi="Arial" w:cs="Arial"/>
          <w:b/>
          <w:sz w:val="22"/>
          <w:szCs w:val="20"/>
        </w:rPr>
      </w:pPr>
    </w:p>
    <w:p w14:paraId="6707D8B0" w14:textId="77777777" w:rsidR="00FE6BF1" w:rsidRPr="00FD765B" w:rsidRDefault="00FE6BF1" w:rsidP="007851F3">
      <w:pPr>
        <w:rPr>
          <w:rFonts w:ascii="Arial" w:hAnsi="Arial" w:cs="Arial"/>
          <w:b/>
          <w:sz w:val="22"/>
          <w:szCs w:val="20"/>
        </w:rPr>
      </w:pPr>
    </w:p>
    <w:p w14:paraId="36AC76FA" w14:textId="3058606B" w:rsidR="00213AD8" w:rsidRPr="00FD765B" w:rsidRDefault="00213AD8" w:rsidP="00213AD8">
      <w:pPr>
        <w:autoSpaceDE w:val="0"/>
        <w:autoSpaceDN w:val="0"/>
        <w:adjustRightInd w:val="0"/>
        <w:spacing w:before="240" w:after="120" w:line="360" w:lineRule="auto"/>
        <w:jc w:val="both"/>
        <w:rPr>
          <w:rFonts w:ascii="Arial" w:hAnsi="Arial" w:cs="Arial"/>
          <w:sz w:val="22"/>
          <w:szCs w:val="20"/>
        </w:rPr>
      </w:pPr>
      <w:r w:rsidRPr="00FD765B">
        <w:rPr>
          <w:rFonts w:ascii="Arial" w:hAnsi="Arial" w:cs="Arial"/>
          <w:sz w:val="22"/>
          <w:szCs w:val="20"/>
        </w:rPr>
        <w:t>El saldo de la Deuda</w:t>
      </w:r>
      <w:r w:rsidR="00F36011">
        <w:rPr>
          <w:rFonts w:ascii="Arial" w:hAnsi="Arial" w:cs="Arial"/>
          <w:sz w:val="22"/>
          <w:szCs w:val="20"/>
        </w:rPr>
        <w:t xml:space="preserve"> Pública al 30 de septiembre de 2017, ascendió a 2</w:t>
      </w:r>
      <w:proofErr w:type="gramStart"/>
      <w:r w:rsidR="00F36011">
        <w:rPr>
          <w:rFonts w:ascii="Arial" w:hAnsi="Arial" w:cs="Arial"/>
          <w:sz w:val="22"/>
          <w:szCs w:val="20"/>
        </w:rPr>
        <w:t>,021,632</w:t>
      </w:r>
      <w:proofErr w:type="gramEnd"/>
      <w:r w:rsidR="00ED15E8">
        <w:rPr>
          <w:rFonts w:ascii="Arial" w:hAnsi="Arial" w:cs="Arial"/>
          <w:sz w:val="22"/>
          <w:szCs w:val="20"/>
        </w:rPr>
        <w:t xml:space="preserve"> miles de pesos.</w:t>
      </w:r>
    </w:p>
    <w:p w14:paraId="3ED0FB32" w14:textId="77777777" w:rsidR="00213AD8" w:rsidRPr="00FD765B" w:rsidRDefault="00213AD8" w:rsidP="00213AD8">
      <w:pPr>
        <w:autoSpaceDE w:val="0"/>
        <w:autoSpaceDN w:val="0"/>
        <w:adjustRightInd w:val="0"/>
        <w:spacing w:before="240" w:after="120" w:line="360" w:lineRule="auto"/>
        <w:jc w:val="both"/>
        <w:rPr>
          <w:rFonts w:ascii="Arial" w:hAnsi="Arial" w:cs="Arial"/>
          <w:sz w:val="22"/>
          <w:szCs w:val="20"/>
        </w:rPr>
      </w:pPr>
      <w:r w:rsidRPr="00FD765B">
        <w:rPr>
          <w:rFonts w:ascii="Arial" w:hAnsi="Arial" w:cs="Arial"/>
          <w:sz w:val="22"/>
          <w:szCs w:val="20"/>
        </w:rPr>
        <w:t xml:space="preserve">El adecuado manejo de las finanzas públicas y el nivel de endeudamiento, ha sido reconocido mediante las calificaciones crediticias asignadas por </w:t>
      </w:r>
      <w:proofErr w:type="spellStart"/>
      <w:r w:rsidRPr="00FD765B">
        <w:rPr>
          <w:rFonts w:ascii="Arial" w:hAnsi="Arial" w:cs="Arial"/>
          <w:sz w:val="22"/>
          <w:szCs w:val="20"/>
        </w:rPr>
        <w:t>Fitch</w:t>
      </w:r>
      <w:proofErr w:type="spellEnd"/>
      <w:r w:rsidRPr="00FD765B">
        <w:rPr>
          <w:rFonts w:ascii="Arial" w:hAnsi="Arial" w:cs="Arial"/>
          <w:sz w:val="22"/>
          <w:szCs w:val="20"/>
        </w:rPr>
        <w:t xml:space="preserve"> Ratings, </w:t>
      </w:r>
      <w:proofErr w:type="spellStart"/>
      <w:r w:rsidRPr="00FD765B">
        <w:rPr>
          <w:rFonts w:ascii="Arial" w:hAnsi="Arial" w:cs="Arial"/>
          <w:sz w:val="22"/>
          <w:szCs w:val="20"/>
        </w:rPr>
        <w:t>Moody´s</w:t>
      </w:r>
      <w:proofErr w:type="spellEnd"/>
      <w:r w:rsidRPr="00FD765B">
        <w:rPr>
          <w:rFonts w:ascii="Arial" w:hAnsi="Arial" w:cs="Arial"/>
          <w:sz w:val="22"/>
          <w:szCs w:val="20"/>
        </w:rPr>
        <w:t xml:space="preserve"> y Standard &amp; </w:t>
      </w:r>
      <w:proofErr w:type="spellStart"/>
      <w:r w:rsidRPr="00FD765B">
        <w:rPr>
          <w:rFonts w:ascii="Arial" w:hAnsi="Arial" w:cs="Arial"/>
          <w:sz w:val="22"/>
          <w:szCs w:val="20"/>
        </w:rPr>
        <w:t>Poor´s</w:t>
      </w:r>
      <w:proofErr w:type="spellEnd"/>
      <w:r w:rsidRPr="00FD765B">
        <w:rPr>
          <w:rFonts w:ascii="Arial" w:hAnsi="Arial" w:cs="Arial"/>
          <w:sz w:val="22"/>
          <w:szCs w:val="20"/>
        </w:rPr>
        <w:t>: A-(</w:t>
      </w:r>
      <w:proofErr w:type="spellStart"/>
      <w:r w:rsidRPr="00FD765B">
        <w:rPr>
          <w:rFonts w:ascii="Arial" w:hAnsi="Arial" w:cs="Arial"/>
          <w:sz w:val="22"/>
          <w:szCs w:val="20"/>
        </w:rPr>
        <w:t>Mex</w:t>
      </w:r>
      <w:proofErr w:type="spellEnd"/>
      <w:r w:rsidRPr="00FD765B">
        <w:rPr>
          <w:rFonts w:ascii="Arial" w:hAnsi="Arial" w:cs="Arial"/>
          <w:sz w:val="22"/>
          <w:szCs w:val="20"/>
        </w:rPr>
        <w:t xml:space="preserve">) Perspectiva Estable; A2.mx/Ba2 perspectiva crediticia negativa y </w:t>
      </w:r>
      <w:proofErr w:type="spellStart"/>
      <w:r w:rsidRPr="00FD765B">
        <w:rPr>
          <w:rFonts w:ascii="Arial" w:hAnsi="Arial" w:cs="Arial"/>
          <w:sz w:val="22"/>
          <w:szCs w:val="20"/>
        </w:rPr>
        <w:t>MxBBB</w:t>
      </w:r>
      <w:proofErr w:type="spellEnd"/>
      <w:r w:rsidRPr="00FD765B">
        <w:rPr>
          <w:rFonts w:ascii="Arial" w:hAnsi="Arial" w:cs="Arial"/>
          <w:sz w:val="22"/>
          <w:szCs w:val="20"/>
        </w:rPr>
        <w:t>+ perspectiva estable, respectivamente.</w:t>
      </w:r>
    </w:p>
    <w:p w14:paraId="22AE0362" w14:textId="77777777" w:rsidR="00FE6BF1" w:rsidRDefault="00FE6BF1" w:rsidP="00213AD8">
      <w:pPr>
        <w:autoSpaceDE w:val="0"/>
        <w:autoSpaceDN w:val="0"/>
        <w:adjustRightInd w:val="0"/>
        <w:spacing w:before="240" w:after="120" w:line="360" w:lineRule="auto"/>
        <w:jc w:val="both"/>
        <w:rPr>
          <w:rFonts w:ascii="Arial" w:hAnsi="Arial" w:cs="Arial"/>
          <w:sz w:val="22"/>
          <w:szCs w:val="20"/>
        </w:rPr>
      </w:pPr>
      <w:r w:rsidRPr="00FD765B">
        <w:rPr>
          <w:rFonts w:ascii="Arial" w:hAnsi="Arial" w:cs="Arial"/>
          <w:sz w:val="22"/>
          <w:szCs w:val="20"/>
        </w:rPr>
        <w:t xml:space="preserve">Cabe señalar, que el crédito cupón CERO, por 459 millones de pesos, se excluye de éste apartado, para producir un análisis más completo de la Deuda Pública Bruta del Estado. </w:t>
      </w:r>
    </w:p>
    <w:p w14:paraId="5E4762E3" w14:textId="77777777" w:rsidR="00D26F77" w:rsidRDefault="00D26F77" w:rsidP="00213AD8">
      <w:pPr>
        <w:autoSpaceDE w:val="0"/>
        <w:autoSpaceDN w:val="0"/>
        <w:adjustRightInd w:val="0"/>
        <w:spacing w:before="240" w:after="120" w:line="360" w:lineRule="auto"/>
        <w:jc w:val="both"/>
        <w:rPr>
          <w:rFonts w:ascii="Arial" w:hAnsi="Arial" w:cs="Arial"/>
          <w:sz w:val="22"/>
          <w:szCs w:val="20"/>
        </w:rPr>
      </w:pPr>
    </w:p>
    <w:p w14:paraId="4977C389" w14:textId="77777777" w:rsidR="00ED15E8" w:rsidRDefault="00ED15E8" w:rsidP="00213AD8">
      <w:pPr>
        <w:autoSpaceDE w:val="0"/>
        <w:autoSpaceDN w:val="0"/>
        <w:adjustRightInd w:val="0"/>
        <w:spacing w:before="240" w:after="120" w:line="360" w:lineRule="auto"/>
        <w:jc w:val="both"/>
        <w:rPr>
          <w:rFonts w:ascii="Arial" w:hAnsi="Arial" w:cs="Arial"/>
          <w:sz w:val="22"/>
          <w:szCs w:val="20"/>
        </w:rPr>
      </w:pPr>
    </w:p>
    <w:p w14:paraId="1295305F" w14:textId="77777777" w:rsidR="00ED15E8" w:rsidRPr="00FD765B" w:rsidRDefault="00ED15E8" w:rsidP="00213AD8">
      <w:pPr>
        <w:autoSpaceDE w:val="0"/>
        <w:autoSpaceDN w:val="0"/>
        <w:adjustRightInd w:val="0"/>
        <w:spacing w:before="240" w:after="120" w:line="360" w:lineRule="auto"/>
        <w:jc w:val="both"/>
        <w:rPr>
          <w:rFonts w:ascii="Arial" w:hAnsi="Arial" w:cs="Arial"/>
          <w:sz w:val="22"/>
          <w:szCs w:val="20"/>
        </w:rPr>
      </w:pPr>
    </w:p>
    <w:p w14:paraId="121EEA86" w14:textId="77777777" w:rsidR="00FE6BF1" w:rsidRDefault="00FE6BF1" w:rsidP="00FE6BF1">
      <w:pPr>
        <w:autoSpaceDE w:val="0"/>
        <w:autoSpaceDN w:val="0"/>
        <w:adjustRightInd w:val="0"/>
        <w:spacing w:line="420" w:lineRule="exact"/>
        <w:jc w:val="both"/>
        <w:rPr>
          <w:rFonts w:ascii="Arial" w:hAnsi="Arial" w:cs="Arial"/>
          <w:sz w:val="20"/>
          <w:szCs w:val="20"/>
        </w:rPr>
      </w:pPr>
    </w:p>
    <w:tbl>
      <w:tblPr>
        <w:tblW w:w="8838" w:type="dxa"/>
        <w:tblCellMar>
          <w:left w:w="70" w:type="dxa"/>
          <w:right w:w="70" w:type="dxa"/>
        </w:tblCellMar>
        <w:tblLook w:val="04A0" w:firstRow="1" w:lastRow="0" w:firstColumn="1" w:lastColumn="0" w:noHBand="0" w:noVBand="1"/>
      </w:tblPr>
      <w:tblGrid>
        <w:gridCol w:w="146"/>
        <w:gridCol w:w="4109"/>
        <w:gridCol w:w="2573"/>
        <w:gridCol w:w="1330"/>
        <w:gridCol w:w="680"/>
      </w:tblGrid>
      <w:tr w:rsidR="00CD7C39" w:rsidRPr="00CD7C39" w14:paraId="70E15CC6" w14:textId="77777777" w:rsidTr="00CD7C39">
        <w:trPr>
          <w:trHeight w:val="315"/>
        </w:trPr>
        <w:tc>
          <w:tcPr>
            <w:tcW w:w="8838" w:type="dxa"/>
            <w:gridSpan w:val="5"/>
            <w:tcBorders>
              <w:top w:val="nil"/>
              <w:left w:val="nil"/>
              <w:bottom w:val="nil"/>
              <w:right w:val="nil"/>
            </w:tcBorders>
            <w:shd w:val="clear" w:color="auto" w:fill="auto"/>
            <w:noWrap/>
            <w:vAlign w:val="bottom"/>
            <w:hideMark/>
          </w:tcPr>
          <w:p w14:paraId="25DB809A" w14:textId="6D291CC1" w:rsidR="00CD7C39" w:rsidRPr="00CD7C39" w:rsidRDefault="00CD7C39" w:rsidP="00CD7C39">
            <w:pPr>
              <w:jc w:val="center"/>
              <w:rPr>
                <w:rFonts w:ascii="Arial" w:hAnsi="Arial" w:cs="Arial"/>
                <w:b/>
                <w:bCs/>
                <w:sz w:val="22"/>
                <w:szCs w:val="22"/>
              </w:rPr>
            </w:pPr>
            <w:r w:rsidRPr="00CD7C39">
              <w:rPr>
                <w:rFonts w:ascii="Arial" w:hAnsi="Arial" w:cs="Arial"/>
                <w:b/>
                <w:bCs/>
                <w:sz w:val="22"/>
                <w:szCs w:val="22"/>
              </w:rPr>
              <w:t>RESUMEN G</w:t>
            </w:r>
            <w:r w:rsidR="00F36011">
              <w:rPr>
                <w:rFonts w:ascii="Arial" w:hAnsi="Arial" w:cs="Arial"/>
                <w:b/>
                <w:bCs/>
                <w:sz w:val="22"/>
                <w:szCs w:val="22"/>
              </w:rPr>
              <w:t>ENERAL DE LA DEUDA PÚBLICA AL 30 DE SEPTIEMBRE DEL 2017</w:t>
            </w:r>
          </w:p>
        </w:tc>
      </w:tr>
      <w:tr w:rsidR="00CD7C39" w:rsidRPr="00CD7C39" w14:paraId="72683F95" w14:textId="77777777" w:rsidTr="00CD7C39">
        <w:trPr>
          <w:trHeight w:val="300"/>
        </w:trPr>
        <w:tc>
          <w:tcPr>
            <w:tcW w:w="8838" w:type="dxa"/>
            <w:gridSpan w:val="5"/>
            <w:tcBorders>
              <w:top w:val="nil"/>
              <w:left w:val="nil"/>
              <w:bottom w:val="single" w:sz="4" w:space="0" w:color="000000"/>
              <w:right w:val="nil"/>
            </w:tcBorders>
            <w:shd w:val="clear" w:color="auto" w:fill="auto"/>
            <w:noWrap/>
            <w:vAlign w:val="bottom"/>
            <w:hideMark/>
          </w:tcPr>
          <w:p w14:paraId="10B1070D" w14:textId="77777777" w:rsidR="00CD7C39" w:rsidRPr="00CD7C39" w:rsidRDefault="00CD7C39" w:rsidP="00CD7C39">
            <w:pPr>
              <w:jc w:val="center"/>
              <w:rPr>
                <w:rFonts w:ascii="Arial" w:hAnsi="Arial" w:cs="Arial"/>
                <w:b/>
                <w:bCs/>
                <w:sz w:val="14"/>
                <w:szCs w:val="14"/>
              </w:rPr>
            </w:pPr>
            <w:r w:rsidRPr="00CD7C39">
              <w:rPr>
                <w:rFonts w:ascii="Arial" w:hAnsi="Arial" w:cs="Arial"/>
                <w:b/>
                <w:bCs/>
                <w:sz w:val="14"/>
                <w:szCs w:val="14"/>
              </w:rPr>
              <w:t>(Miles de Pesos)</w:t>
            </w:r>
          </w:p>
        </w:tc>
      </w:tr>
      <w:tr w:rsidR="00CD7C39" w:rsidRPr="00CD7C39" w14:paraId="02ED8368" w14:textId="77777777" w:rsidTr="00C139FB">
        <w:trPr>
          <w:trHeight w:val="300"/>
        </w:trPr>
        <w:tc>
          <w:tcPr>
            <w:tcW w:w="4255" w:type="dxa"/>
            <w:gridSpan w:val="2"/>
            <w:tcBorders>
              <w:top w:val="single" w:sz="4" w:space="0" w:color="000000"/>
              <w:left w:val="nil"/>
              <w:bottom w:val="single" w:sz="4" w:space="0" w:color="auto"/>
              <w:right w:val="nil"/>
            </w:tcBorders>
            <w:shd w:val="clear" w:color="auto" w:fill="0F243E" w:themeFill="text2" w:themeFillShade="80"/>
            <w:noWrap/>
            <w:vAlign w:val="center"/>
            <w:hideMark/>
          </w:tcPr>
          <w:p w14:paraId="245C2A5F" w14:textId="77777777" w:rsidR="00CD7C39" w:rsidRPr="00CD7C39" w:rsidRDefault="00CD7C39" w:rsidP="00CD7C39">
            <w:pPr>
              <w:jc w:val="center"/>
              <w:rPr>
                <w:rFonts w:ascii="Arial" w:hAnsi="Arial" w:cs="Arial"/>
                <w:b/>
                <w:bCs/>
                <w:sz w:val="22"/>
                <w:szCs w:val="22"/>
              </w:rPr>
            </w:pPr>
            <w:r w:rsidRPr="00CD7C39">
              <w:rPr>
                <w:rFonts w:ascii="Arial" w:hAnsi="Arial" w:cs="Arial"/>
                <w:b/>
                <w:bCs/>
                <w:sz w:val="22"/>
                <w:szCs w:val="22"/>
              </w:rPr>
              <w:t>CONCEPTO</w:t>
            </w:r>
          </w:p>
        </w:tc>
        <w:tc>
          <w:tcPr>
            <w:tcW w:w="2573" w:type="dxa"/>
            <w:tcBorders>
              <w:top w:val="nil"/>
              <w:left w:val="nil"/>
              <w:bottom w:val="single" w:sz="4" w:space="0" w:color="auto"/>
              <w:right w:val="nil"/>
            </w:tcBorders>
            <w:shd w:val="clear" w:color="auto" w:fill="0F243E" w:themeFill="text2" w:themeFillShade="80"/>
            <w:noWrap/>
            <w:vAlign w:val="bottom"/>
            <w:hideMark/>
          </w:tcPr>
          <w:p w14:paraId="7ED24012" w14:textId="77777777" w:rsidR="00CD7C39" w:rsidRPr="00CD7C39" w:rsidRDefault="00CD7C39" w:rsidP="00CD7C39">
            <w:pPr>
              <w:jc w:val="center"/>
              <w:rPr>
                <w:rFonts w:ascii="Arial" w:hAnsi="Arial" w:cs="Arial"/>
                <w:b/>
                <w:bCs/>
                <w:sz w:val="22"/>
                <w:szCs w:val="22"/>
              </w:rPr>
            </w:pPr>
            <w:r w:rsidRPr="00CD7C39">
              <w:rPr>
                <w:rFonts w:ascii="Arial" w:hAnsi="Arial" w:cs="Arial"/>
                <w:b/>
                <w:bCs/>
                <w:sz w:val="22"/>
                <w:szCs w:val="22"/>
              </w:rPr>
              <w:t> </w:t>
            </w:r>
          </w:p>
        </w:tc>
        <w:tc>
          <w:tcPr>
            <w:tcW w:w="1330" w:type="dxa"/>
            <w:tcBorders>
              <w:top w:val="nil"/>
              <w:left w:val="nil"/>
              <w:bottom w:val="single" w:sz="4" w:space="0" w:color="auto"/>
              <w:right w:val="nil"/>
            </w:tcBorders>
            <w:shd w:val="clear" w:color="auto" w:fill="0F243E" w:themeFill="text2" w:themeFillShade="80"/>
            <w:noWrap/>
            <w:vAlign w:val="center"/>
            <w:hideMark/>
          </w:tcPr>
          <w:p w14:paraId="62F0F044" w14:textId="77777777" w:rsidR="00CD7C39" w:rsidRPr="00CD7C39" w:rsidRDefault="00CD7C39" w:rsidP="00CD7C39">
            <w:pPr>
              <w:jc w:val="center"/>
              <w:rPr>
                <w:rFonts w:ascii="Arial" w:hAnsi="Arial" w:cs="Arial"/>
                <w:b/>
                <w:bCs/>
                <w:sz w:val="22"/>
                <w:szCs w:val="22"/>
              </w:rPr>
            </w:pPr>
            <w:r w:rsidRPr="00CD7C39">
              <w:rPr>
                <w:rFonts w:ascii="Arial" w:hAnsi="Arial" w:cs="Arial"/>
                <w:b/>
                <w:bCs/>
                <w:sz w:val="22"/>
                <w:szCs w:val="22"/>
              </w:rPr>
              <w:t>SALDO</w:t>
            </w:r>
          </w:p>
        </w:tc>
        <w:tc>
          <w:tcPr>
            <w:tcW w:w="680" w:type="dxa"/>
            <w:tcBorders>
              <w:top w:val="nil"/>
              <w:left w:val="nil"/>
              <w:bottom w:val="single" w:sz="4" w:space="0" w:color="auto"/>
              <w:right w:val="nil"/>
            </w:tcBorders>
            <w:shd w:val="clear" w:color="auto" w:fill="0F243E" w:themeFill="text2" w:themeFillShade="80"/>
            <w:noWrap/>
            <w:vAlign w:val="center"/>
          </w:tcPr>
          <w:p w14:paraId="503E591D" w14:textId="027B04E6" w:rsidR="00CD7C39" w:rsidRPr="00CD7C39" w:rsidRDefault="00CD7C39" w:rsidP="00CD7C39">
            <w:pPr>
              <w:jc w:val="center"/>
              <w:rPr>
                <w:rFonts w:ascii="Arial" w:hAnsi="Arial" w:cs="Arial"/>
                <w:b/>
                <w:bCs/>
                <w:sz w:val="22"/>
                <w:szCs w:val="22"/>
              </w:rPr>
            </w:pPr>
          </w:p>
        </w:tc>
      </w:tr>
      <w:tr w:rsidR="00CD7C39" w:rsidRPr="00CD7C39" w14:paraId="2B0DC804" w14:textId="77777777" w:rsidTr="00ED15E8">
        <w:trPr>
          <w:trHeight w:val="105"/>
        </w:trPr>
        <w:tc>
          <w:tcPr>
            <w:tcW w:w="146" w:type="dxa"/>
            <w:tcBorders>
              <w:top w:val="nil"/>
              <w:left w:val="nil"/>
              <w:bottom w:val="nil"/>
              <w:right w:val="nil"/>
            </w:tcBorders>
            <w:shd w:val="clear" w:color="auto" w:fill="auto"/>
            <w:noWrap/>
            <w:vAlign w:val="bottom"/>
            <w:hideMark/>
          </w:tcPr>
          <w:p w14:paraId="4467F6E3" w14:textId="77777777" w:rsidR="00CD7C39" w:rsidRPr="00CD7C39" w:rsidRDefault="00CD7C39" w:rsidP="00CD7C39">
            <w:pPr>
              <w:jc w:val="right"/>
              <w:rPr>
                <w:rFonts w:ascii="Arial" w:hAnsi="Arial" w:cs="Arial"/>
                <w:b/>
                <w:bCs/>
                <w:sz w:val="22"/>
                <w:szCs w:val="22"/>
              </w:rPr>
            </w:pPr>
          </w:p>
        </w:tc>
        <w:tc>
          <w:tcPr>
            <w:tcW w:w="4109" w:type="dxa"/>
            <w:tcBorders>
              <w:top w:val="nil"/>
              <w:left w:val="nil"/>
              <w:bottom w:val="nil"/>
              <w:right w:val="nil"/>
            </w:tcBorders>
            <w:shd w:val="clear" w:color="auto" w:fill="auto"/>
            <w:noWrap/>
            <w:vAlign w:val="bottom"/>
            <w:hideMark/>
          </w:tcPr>
          <w:p w14:paraId="63773901" w14:textId="77777777" w:rsidR="00CD7C39" w:rsidRPr="00CD7C39" w:rsidRDefault="00CD7C39" w:rsidP="00CD7C39">
            <w:pPr>
              <w:rPr>
                <w:sz w:val="20"/>
                <w:szCs w:val="20"/>
              </w:rPr>
            </w:pPr>
          </w:p>
        </w:tc>
        <w:tc>
          <w:tcPr>
            <w:tcW w:w="2573" w:type="dxa"/>
            <w:tcBorders>
              <w:top w:val="nil"/>
              <w:left w:val="nil"/>
              <w:bottom w:val="nil"/>
              <w:right w:val="nil"/>
            </w:tcBorders>
            <w:shd w:val="clear" w:color="auto" w:fill="auto"/>
            <w:noWrap/>
            <w:vAlign w:val="bottom"/>
            <w:hideMark/>
          </w:tcPr>
          <w:p w14:paraId="6FD2D3B2" w14:textId="77777777" w:rsidR="00CD7C39" w:rsidRPr="00CD7C39" w:rsidRDefault="00CD7C39" w:rsidP="00CD7C39">
            <w:pPr>
              <w:rPr>
                <w:sz w:val="20"/>
                <w:szCs w:val="20"/>
              </w:rPr>
            </w:pPr>
          </w:p>
        </w:tc>
        <w:tc>
          <w:tcPr>
            <w:tcW w:w="1330" w:type="dxa"/>
            <w:tcBorders>
              <w:top w:val="nil"/>
              <w:left w:val="nil"/>
              <w:bottom w:val="nil"/>
              <w:right w:val="nil"/>
            </w:tcBorders>
            <w:shd w:val="clear" w:color="auto" w:fill="auto"/>
            <w:noWrap/>
            <w:vAlign w:val="bottom"/>
            <w:hideMark/>
          </w:tcPr>
          <w:p w14:paraId="061048EE" w14:textId="77777777" w:rsidR="00CD7C39" w:rsidRPr="00CD7C39" w:rsidRDefault="00CD7C39" w:rsidP="00CD7C39">
            <w:pPr>
              <w:rPr>
                <w:sz w:val="20"/>
                <w:szCs w:val="20"/>
              </w:rPr>
            </w:pPr>
          </w:p>
        </w:tc>
        <w:tc>
          <w:tcPr>
            <w:tcW w:w="680" w:type="dxa"/>
            <w:tcBorders>
              <w:top w:val="nil"/>
              <w:left w:val="nil"/>
              <w:bottom w:val="nil"/>
              <w:right w:val="nil"/>
            </w:tcBorders>
            <w:shd w:val="clear" w:color="auto" w:fill="auto"/>
            <w:noWrap/>
            <w:vAlign w:val="bottom"/>
          </w:tcPr>
          <w:p w14:paraId="39CA9047" w14:textId="77777777" w:rsidR="00CD7C39" w:rsidRPr="00CD7C39" w:rsidRDefault="00CD7C39" w:rsidP="00CD7C39">
            <w:pPr>
              <w:rPr>
                <w:sz w:val="20"/>
                <w:szCs w:val="20"/>
              </w:rPr>
            </w:pPr>
          </w:p>
        </w:tc>
      </w:tr>
      <w:tr w:rsidR="00CD7C39" w:rsidRPr="00CD7C39" w14:paraId="0C4CB200" w14:textId="77777777" w:rsidTr="00ED15E8">
        <w:trPr>
          <w:trHeight w:val="300"/>
        </w:trPr>
        <w:tc>
          <w:tcPr>
            <w:tcW w:w="4255" w:type="dxa"/>
            <w:gridSpan w:val="2"/>
            <w:tcBorders>
              <w:top w:val="single" w:sz="4" w:space="0" w:color="auto"/>
              <w:left w:val="nil"/>
              <w:bottom w:val="single" w:sz="4" w:space="0" w:color="auto"/>
              <w:right w:val="nil"/>
            </w:tcBorders>
            <w:shd w:val="clear" w:color="auto" w:fill="auto"/>
            <w:noWrap/>
            <w:vAlign w:val="bottom"/>
            <w:hideMark/>
          </w:tcPr>
          <w:p w14:paraId="4ABEFB39" w14:textId="77777777" w:rsidR="00CD7C39" w:rsidRPr="00CD7C39" w:rsidRDefault="00CD7C39" w:rsidP="00CD7C39">
            <w:pPr>
              <w:rPr>
                <w:rFonts w:ascii="Arial" w:hAnsi="Arial" w:cs="Arial"/>
                <w:b/>
                <w:bCs/>
                <w:sz w:val="22"/>
                <w:szCs w:val="22"/>
              </w:rPr>
            </w:pPr>
            <w:r w:rsidRPr="00CD7C39">
              <w:rPr>
                <w:rFonts w:ascii="Arial" w:hAnsi="Arial" w:cs="Arial"/>
                <w:b/>
                <w:bCs/>
                <w:sz w:val="22"/>
                <w:szCs w:val="22"/>
              </w:rPr>
              <w:t>DEUDA DIRECTA</w:t>
            </w:r>
          </w:p>
        </w:tc>
        <w:tc>
          <w:tcPr>
            <w:tcW w:w="2573" w:type="dxa"/>
            <w:tcBorders>
              <w:top w:val="single" w:sz="4" w:space="0" w:color="auto"/>
              <w:left w:val="nil"/>
              <w:bottom w:val="single" w:sz="4" w:space="0" w:color="auto"/>
              <w:right w:val="nil"/>
            </w:tcBorders>
            <w:shd w:val="clear" w:color="auto" w:fill="auto"/>
            <w:noWrap/>
            <w:vAlign w:val="bottom"/>
            <w:hideMark/>
          </w:tcPr>
          <w:p w14:paraId="1BB89546" w14:textId="77777777" w:rsidR="00CD7C39" w:rsidRPr="00CD7C39" w:rsidRDefault="00CD7C39" w:rsidP="00CD7C39">
            <w:pPr>
              <w:rPr>
                <w:rFonts w:ascii="Arial" w:hAnsi="Arial" w:cs="Arial"/>
                <w:b/>
                <w:bCs/>
                <w:sz w:val="22"/>
                <w:szCs w:val="22"/>
              </w:rPr>
            </w:pPr>
            <w:r w:rsidRPr="00CD7C39">
              <w:rPr>
                <w:rFonts w:ascii="Arial" w:hAnsi="Arial" w:cs="Arial"/>
                <w:b/>
                <w:bCs/>
                <w:sz w:val="22"/>
                <w:szCs w:val="22"/>
              </w:rPr>
              <w:t> </w:t>
            </w:r>
          </w:p>
        </w:tc>
        <w:tc>
          <w:tcPr>
            <w:tcW w:w="1330" w:type="dxa"/>
            <w:tcBorders>
              <w:top w:val="single" w:sz="4" w:space="0" w:color="auto"/>
              <w:left w:val="nil"/>
              <w:bottom w:val="single" w:sz="4" w:space="0" w:color="auto"/>
              <w:right w:val="nil"/>
            </w:tcBorders>
            <w:shd w:val="clear" w:color="auto" w:fill="auto"/>
            <w:noWrap/>
            <w:vAlign w:val="bottom"/>
            <w:hideMark/>
          </w:tcPr>
          <w:p w14:paraId="1343508F" w14:textId="6890A68D" w:rsidR="00CD7C39" w:rsidRPr="00CD7C39" w:rsidRDefault="00ED15E8" w:rsidP="00CD7C39">
            <w:pPr>
              <w:jc w:val="right"/>
              <w:rPr>
                <w:rFonts w:ascii="Arial" w:hAnsi="Arial" w:cs="Arial"/>
                <w:b/>
                <w:bCs/>
                <w:sz w:val="22"/>
                <w:szCs w:val="22"/>
              </w:rPr>
            </w:pPr>
            <w:r>
              <w:rPr>
                <w:rFonts w:ascii="Arial" w:hAnsi="Arial" w:cs="Arial"/>
                <w:b/>
                <w:bCs/>
                <w:sz w:val="22"/>
                <w:szCs w:val="22"/>
              </w:rPr>
              <w:t>2,021,632</w:t>
            </w:r>
          </w:p>
        </w:tc>
        <w:tc>
          <w:tcPr>
            <w:tcW w:w="680" w:type="dxa"/>
            <w:tcBorders>
              <w:top w:val="single" w:sz="4" w:space="0" w:color="auto"/>
              <w:left w:val="nil"/>
              <w:bottom w:val="single" w:sz="4" w:space="0" w:color="auto"/>
              <w:right w:val="nil"/>
            </w:tcBorders>
            <w:shd w:val="clear" w:color="auto" w:fill="auto"/>
            <w:noWrap/>
            <w:vAlign w:val="bottom"/>
          </w:tcPr>
          <w:p w14:paraId="18764549" w14:textId="44779F41" w:rsidR="00CD7C39" w:rsidRPr="00CD7C39" w:rsidRDefault="00CD7C39" w:rsidP="00CD7C39">
            <w:pPr>
              <w:jc w:val="right"/>
              <w:rPr>
                <w:rFonts w:ascii="Arial" w:hAnsi="Arial" w:cs="Arial"/>
                <w:b/>
                <w:bCs/>
                <w:sz w:val="22"/>
                <w:szCs w:val="22"/>
              </w:rPr>
            </w:pPr>
          </w:p>
        </w:tc>
      </w:tr>
      <w:tr w:rsidR="00CD7C39" w:rsidRPr="00CD7C39" w14:paraId="36E92F2C" w14:textId="77777777" w:rsidTr="00CD7C39">
        <w:trPr>
          <w:trHeight w:val="255"/>
        </w:trPr>
        <w:tc>
          <w:tcPr>
            <w:tcW w:w="146" w:type="dxa"/>
            <w:tcBorders>
              <w:top w:val="nil"/>
              <w:left w:val="nil"/>
              <w:bottom w:val="nil"/>
              <w:right w:val="nil"/>
            </w:tcBorders>
            <w:shd w:val="clear" w:color="auto" w:fill="auto"/>
            <w:noWrap/>
            <w:vAlign w:val="bottom"/>
            <w:hideMark/>
          </w:tcPr>
          <w:p w14:paraId="7555717B" w14:textId="77777777" w:rsidR="00CD7C39" w:rsidRPr="00CD7C39" w:rsidRDefault="00CD7C39" w:rsidP="00CD7C39">
            <w:pPr>
              <w:jc w:val="right"/>
              <w:rPr>
                <w:rFonts w:ascii="Arial" w:hAnsi="Arial" w:cs="Arial"/>
                <w:b/>
                <w:bCs/>
                <w:sz w:val="22"/>
                <w:szCs w:val="22"/>
              </w:rPr>
            </w:pPr>
          </w:p>
        </w:tc>
        <w:tc>
          <w:tcPr>
            <w:tcW w:w="4109" w:type="dxa"/>
            <w:tcBorders>
              <w:top w:val="nil"/>
              <w:left w:val="nil"/>
              <w:bottom w:val="nil"/>
              <w:right w:val="nil"/>
            </w:tcBorders>
            <w:shd w:val="clear" w:color="auto" w:fill="auto"/>
            <w:noWrap/>
            <w:vAlign w:val="bottom"/>
            <w:hideMark/>
          </w:tcPr>
          <w:p w14:paraId="69EF6076" w14:textId="77777777" w:rsidR="00CD7C39" w:rsidRPr="00CD7C39" w:rsidRDefault="00CD7C39" w:rsidP="00CD7C39">
            <w:pPr>
              <w:rPr>
                <w:sz w:val="20"/>
                <w:szCs w:val="20"/>
              </w:rPr>
            </w:pPr>
          </w:p>
        </w:tc>
        <w:tc>
          <w:tcPr>
            <w:tcW w:w="2573" w:type="dxa"/>
            <w:tcBorders>
              <w:top w:val="nil"/>
              <w:left w:val="nil"/>
              <w:bottom w:val="nil"/>
              <w:right w:val="nil"/>
            </w:tcBorders>
            <w:shd w:val="clear" w:color="auto" w:fill="auto"/>
            <w:noWrap/>
            <w:vAlign w:val="bottom"/>
            <w:hideMark/>
          </w:tcPr>
          <w:p w14:paraId="1F54748C" w14:textId="77777777" w:rsidR="00CD7C39" w:rsidRPr="00CD7C39" w:rsidRDefault="00CD7C39" w:rsidP="00CD7C39">
            <w:pPr>
              <w:rPr>
                <w:sz w:val="20"/>
                <w:szCs w:val="20"/>
              </w:rPr>
            </w:pPr>
          </w:p>
        </w:tc>
        <w:tc>
          <w:tcPr>
            <w:tcW w:w="1330" w:type="dxa"/>
            <w:tcBorders>
              <w:top w:val="nil"/>
              <w:left w:val="nil"/>
              <w:bottom w:val="nil"/>
              <w:right w:val="nil"/>
            </w:tcBorders>
            <w:shd w:val="clear" w:color="auto" w:fill="auto"/>
            <w:noWrap/>
            <w:vAlign w:val="bottom"/>
            <w:hideMark/>
          </w:tcPr>
          <w:p w14:paraId="0607E4FF" w14:textId="77777777" w:rsidR="00CD7C39" w:rsidRPr="00CD7C39" w:rsidRDefault="00CD7C39" w:rsidP="00CD7C39">
            <w:pPr>
              <w:rPr>
                <w:sz w:val="20"/>
                <w:szCs w:val="20"/>
              </w:rPr>
            </w:pPr>
          </w:p>
        </w:tc>
        <w:tc>
          <w:tcPr>
            <w:tcW w:w="680" w:type="dxa"/>
            <w:tcBorders>
              <w:top w:val="nil"/>
              <w:left w:val="nil"/>
              <w:bottom w:val="nil"/>
              <w:right w:val="nil"/>
            </w:tcBorders>
            <w:shd w:val="clear" w:color="auto" w:fill="auto"/>
            <w:noWrap/>
            <w:vAlign w:val="bottom"/>
            <w:hideMark/>
          </w:tcPr>
          <w:p w14:paraId="77E8BEB5" w14:textId="77777777" w:rsidR="00CD7C39" w:rsidRPr="00CD7C39" w:rsidRDefault="00CD7C39" w:rsidP="00CD7C39">
            <w:pPr>
              <w:rPr>
                <w:sz w:val="20"/>
                <w:szCs w:val="20"/>
              </w:rPr>
            </w:pPr>
          </w:p>
        </w:tc>
      </w:tr>
      <w:tr w:rsidR="00CD7C39" w:rsidRPr="00CD7C39" w14:paraId="1F7CA5FC" w14:textId="77777777" w:rsidTr="00CD7C39">
        <w:trPr>
          <w:trHeight w:val="285"/>
        </w:trPr>
        <w:tc>
          <w:tcPr>
            <w:tcW w:w="146" w:type="dxa"/>
            <w:tcBorders>
              <w:top w:val="nil"/>
              <w:left w:val="nil"/>
              <w:bottom w:val="nil"/>
              <w:right w:val="nil"/>
            </w:tcBorders>
            <w:shd w:val="clear" w:color="auto" w:fill="auto"/>
            <w:noWrap/>
            <w:vAlign w:val="bottom"/>
            <w:hideMark/>
          </w:tcPr>
          <w:p w14:paraId="2AC389EC"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2A8EDB88" w14:textId="77777777" w:rsidR="00CD7C39" w:rsidRPr="00CD7C39" w:rsidRDefault="00CD7C39" w:rsidP="00CD7C39">
            <w:pPr>
              <w:rPr>
                <w:rFonts w:ascii="Arial" w:hAnsi="Arial" w:cs="Arial"/>
                <w:b/>
                <w:bCs/>
                <w:sz w:val="20"/>
                <w:szCs w:val="20"/>
                <w:u w:val="single"/>
              </w:rPr>
            </w:pPr>
            <w:r w:rsidRPr="00CD7C39">
              <w:rPr>
                <w:rFonts w:ascii="Arial" w:hAnsi="Arial" w:cs="Arial"/>
                <w:b/>
                <w:bCs/>
                <w:sz w:val="20"/>
                <w:szCs w:val="20"/>
                <w:u w:val="single"/>
              </w:rPr>
              <w:t>BANCA DE DESARROLLO</w:t>
            </w:r>
          </w:p>
        </w:tc>
        <w:tc>
          <w:tcPr>
            <w:tcW w:w="2573" w:type="dxa"/>
            <w:tcBorders>
              <w:top w:val="nil"/>
              <w:left w:val="nil"/>
              <w:bottom w:val="nil"/>
              <w:right w:val="nil"/>
            </w:tcBorders>
            <w:shd w:val="clear" w:color="auto" w:fill="auto"/>
            <w:noWrap/>
            <w:vAlign w:val="bottom"/>
            <w:hideMark/>
          </w:tcPr>
          <w:p w14:paraId="4588BE1B" w14:textId="77777777" w:rsidR="00CD7C39" w:rsidRPr="00CD7C39" w:rsidRDefault="00CD7C39" w:rsidP="00CD7C39">
            <w:pPr>
              <w:rPr>
                <w:rFonts w:ascii="Arial" w:hAnsi="Arial" w:cs="Arial"/>
                <w:b/>
                <w:bCs/>
                <w:sz w:val="20"/>
                <w:szCs w:val="20"/>
                <w:u w:val="single"/>
              </w:rPr>
            </w:pPr>
          </w:p>
        </w:tc>
        <w:tc>
          <w:tcPr>
            <w:tcW w:w="1330" w:type="dxa"/>
            <w:tcBorders>
              <w:top w:val="nil"/>
              <w:left w:val="nil"/>
              <w:bottom w:val="nil"/>
              <w:right w:val="nil"/>
            </w:tcBorders>
            <w:shd w:val="clear" w:color="auto" w:fill="auto"/>
            <w:noWrap/>
            <w:vAlign w:val="bottom"/>
            <w:hideMark/>
          </w:tcPr>
          <w:p w14:paraId="29F1F983" w14:textId="7946A360" w:rsidR="00CD7C39" w:rsidRPr="00CD7C39" w:rsidRDefault="00ED15E8" w:rsidP="00CD7C39">
            <w:pPr>
              <w:jc w:val="right"/>
              <w:rPr>
                <w:rFonts w:ascii="Arial" w:hAnsi="Arial" w:cs="Arial"/>
                <w:b/>
                <w:bCs/>
                <w:sz w:val="20"/>
                <w:szCs w:val="20"/>
                <w:u w:val="single"/>
              </w:rPr>
            </w:pPr>
            <w:r>
              <w:rPr>
                <w:rFonts w:ascii="Arial" w:hAnsi="Arial" w:cs="Arial"/>
                <w:b/>
                <w:bCs/>
                <w:sz w:val="20"/>
                <w:szCs w:val="20"/>
                <w:u w:val="single"/>
              </w:rPr>
              <w:t>834,143</w:t>
            </w:r>
          </w:p>
        </w:tc>
        <w:tc>
          <w:tcPr>
            <w:tcW w:w="680" w:type="dxa"/>
            <w:tcBorders>
              <w:top w:val="nil"/>
              <w:left w:val="nil"/>
              <w:bottom w:val="nil"/>
              <w:right w:val="nil"/>
            </w:tcBorders>
            <w:shd w:val="clear" w:color="auto" w:fill="auto"/>
            <w:noWrap/>
            <w:vAlign w:val="bottom"/>
            <w:hideMark/>
          </w:tcPr>
          <w:p w14:paraId="42FDD90D" w14:textId="77777777" w:rsidR="00CD7C39" w:rsidRPr="00CD7C39" w:rsidRDefault="00CD7C39" w:rsidP="00CD7C39">
            <w:pPr>
              <w:jc w:val="right"/>
              <w:rPr>
                <w:rFonts w:ascii="Arial" w:hAnsi="Arial" w:cs="Arial"/>
                <w:b/>
                <w:bCs/>
                <w:sz w:val="20"/>
                <w:szCs w:val="20"/>
                <w:u w:val="single"/>
              </w:rPr>
            </w:pPr>
          </w:p>
        </w:tc>
      </w:tr>
      <w:tr w:rsidR="00CD7C39" w:rsidRPr="00CD7C39" w14:paraId="0FE1D83E" w14:textId="77777777" w:rsidTr="00CD7C39">
        <w:trPr>
          <w:trHeight w:val="285"/>
        </w:trPr>
        <w:tc>
          <w:tcPr>
            <w:tcW w:w="146" w:type="dxa"/>
            <w:tcBorders>
              <w:top w:val="nil"/>
              <w:left w:val="nil"/>
              <w:bottom w:val="nil"/>
              <w:right w:val="nil"/>
            </w:tcBorders>
            <w:shd w:val="clear" w:color="auto" w:fill="auto"/>
            <w:noWrap/>
            <w:vAlign w:val="bottom"/>
            <w:hideMark/>
          </w:tcPr>
          <w:p w14:paraId="0BF87B5C"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56A11E7C" w14:textId="77777777" w:rsidR="00CD7C39" w:rsidRPr="00CD7C39" w:rsidRDefault="00CD7C39" w:rsidP="00CD7C39">
            <w:pPr>
              <w:rPr>
                <w:rFonts w:ascii="Arial" w:hAnsi="Arial" w:cs="Arial"/>
                <w:i/>
                <w:iCs/>
                <w:sz w:val="20"/>
                <w:szCs w:val="20"/>
              </w:rPr>
            </w:pPr>
            <w:r w:rsidRPr="00CD7C39">
              <w:rPr>
                <w:rFonts w:ascii="Arial" w:hAnsi="Arial" w:cs="Arial"/>
                <w:i/>
                <w:iCs/>
                <w:sz w:val="20"/>
                <w:szCs w:val="20"/>
              </w:rPr>
              <w:t>BANOBRAS</w:t>
            </w:r>
          </w:p>
        </w:tc>
        <w:tc>
          <w:tcPr>
            <w:tcW w:w="2573" w:type="dxa"/>
            <w:tcBorders>
              <w:top w:val="nil"/>
              <w:left w:val="nil"/>
              <w:bottom w:val="nil"/>
              <w:right w:val="nil"/>
            </w:tcBorders>
            <w:shd w:val="clear" w:color="auto" w:fill="auto"/>
            <w:noWrap/>
            <w:vAlign w:val="bottom"/>
            <w:hideMark/>
          </w:tcPr>
          <w:p w14:paraId="7E1B5F5F" w14:textId="77777777" w:rsidR="00CD7C39" w:rsidRPr="00CD7C39" w:rsidRDefault="00CD7C39" w:rsidP="00CD7C39">
            <w:pPr>
              <w:ind w:firstLineChars="300" w:firstLine="600"/>
              <w:rPr>
                <w:rFonts w:ascii="Arial" w:hAnsi="Arial" w:cs="Arial"/>
                <w:sz w:val="20"/>
                <w:szCs w:val="20"/>
              </w:rPr>
            </w:pPr>
            <w:r w:rsidRPr="00CD7C39">
              <w:rPr>
                <w:rFonts w:ascii="Arial" w:hAnsi="Arial" w:cs="Arial"/>
                <w:sz w:val="20"/>
                <w:szCs w:val="20"/>
              </w:rPr>
              <w:t xml:space="preserve"> $ 890,000.0 </w:t>
            </w:r>
          </w:p>
        </w:tc>
        <w:tc>
          <w:tcPr>
            <w:tcW w:w="1330" w:type="dxa"/>
            <w:tcBorders>
              <w:top w:val="nil"/>
              <w:left w:val="nil"/>
              <w:bottom w:val="nil"/>
              <w:right w:val="nil"/>
            </w:tcBorders>
            <w:shd w:val="clear" w:color="auto" w:fill="auto"/>
            <w:noWrap/>
            <w:vAlign w:val="bottom"/>
            <w:hideMark/>
          </w:tcPr>
          <w:p w14:paraId="7B26C807" w14:textId="7E51CB01" w:rsidR="00CD7C39" w:rsidRPr="00CD7C39" w:rsidRDefault="00ED15E8" w:rsidP="00CD7C39">
            <w:pPr>
              <w:jc w:val="right"/>
              <w:rPr>
                <w:rFonts w:ascii="Arial" w:hAnsi="Arial" w:cs="Arial"/>
                <w:sz w:val="20"/>
                <w:szCs w:val="20"/>
              </w:rPr>
            </w:pPr>
            <w:r>
              <w:rPr>
                <w:rFonts w:ascii="Arial" w:hAnsi="Arial" w:cs="Arial"/>
                <w:sz w:val="20"/>
                <w:szCs w:val="20"/>
              </w:rPr>
              <w:t>834,143</w:t>
            </w:r>
          </w:p>
        </w:tc>
        <w:tc>
          <w:tcPr>
            <w:tcW w:w="680" w:type="dxa"/>
            <w:tcBorders>
              <w:top w:val="nil"/>
              <w:left w:val="nil"/>
              <w:bottom w:val="nil"/>
              <w:right w:val="nil"/>
            </w:tcBorders>
            <w:shd w:val="clear" w:color="auto" w:fill="auto"/>
            <w:noWrap/>
            <w:vAlign w:val="bottom"/>
            <w:hideMark/>
          </w:tcPr>
          <w:p w14:paraId="19D4B2F3" w14:textId="77777777" w:rsidR="00CD7C39" w:rsidRPr="00CD7C39" w:rsidRDefault="00CD7C39" w:rsidP="00CD7C39">
            <w:pPr>
              <w:jc w:val="right"/>
              <w:rPr>
                <w:rFonts w:ascii="Arial" w:hAnsi="Arial" w:cs="Arial"/>
                <w:sz w:val="20"/>
                <w:szCs w:val="20"/>
              </w:rPr>
            </w:pPr>
          </w:p>
        </w:tc>
      </w:tr>
      <w:tr w:rsidR="00CD7C39" w:rsidRPr="00CD7C39" w14:paraId="04467C14" w14:textId="77777777" w:rsidTr="00CD7C39">
        <w:trPr>
          <w:trHeight w:val="240"/>
        </w:trPr>
        <w:tc>
          <w:tcPr>
            <w:tcW w:w="146" w:type="dxa"/>
            <w:tcBorders>
              <w:top w:val="nil"/>
              <w:left w:val="nil"/>
              <w:bottom w:val="nil"/>
              <w:right w:val="nil"/>
            </w:tcBorders>
            <w:shd w:val="clear" w:color="auto" w:fill="auto"/>
            <w:noWrap/>
            <w:vAlign w:val="bottom"/>
            <w:hideMark/>
          </w:tcPr>
          <w:p w14:paraId="66316C55"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1115E05C" w14:textId="77777777" w:rsidR="00CD7C39" w:rsidRPr="00CD7C39" w:rsidRDefault="00CD7C39" w:rsidP="00CD7C39">
            <w:pPr>
              <w:rPr>
                <w:sz w:val="20"/>
                <w:szCs w:val="20"/>
              </w:rPr>
            </w:pPr>
          </w:p>
        </w:tc>
        <w:tc>
          <w:tcPr>
            <w:tcW w:w="2573" w:type="dxa"/>
            <w:tcBorders>
              <w:top w:val="nil"/>
              <w:left w:val="nil"/>
              <w:bottom w:val="nil"/>
              <w:right w:val="nil"/>
            </w:tcBorders>
            <w:shd w:val="clear" w:color="auto" w:fill="auto"/>
            <w:noWrap/>
            <w:vAlign w:val="bottom"/>
            <w:hideMark/>
          </w:tcPr>
          <w:p w14:paraId="0F4CD6FB" w14:textId="77777777" w:rsidR="00CD7C39" w:rsidRPr="00CD7C39" w:rsidRDefault="00CD7C39" w:rsidP="00CD7C39">
            <w:pPr>
              <w:rPr>
                <w:sz w:val="20"/>
                <w:szCs w:val="20"/>
              </w:rPr>
            </w:pPr>
          </w:p>
        </w:tc>
        <w:tc>
          <w:tcPr>
            <w:tcW w:w="1330" w:type="dxa"/>
            <w:tcBorders>
              <w:top w:val="nil"/>
              <w:left w:val="nil"/>
              <w:bottom w:val="nil"/>
              <w:right w:val="nil"/>
            </w:tcBorders>
            <w:shd w:val="clear" w:color="auto" w:fill="auto"/>
            <w:noWrap/>
            <w:vAlign w:val="bottom"/>
            <w:hideMark/>
          </w:tcPr>
          <w:p w14:paraId="11E01F72" w14:textId="77777777" w:rsidR="00CD7C39" w:rsidRPr="00CD7C39" w:rsidRDefault="00CD7C39" w:rsidP="00CD7C39">
            <w:pPr>
              <w:ind w:firstLineChars="300" w:firstLine="600"/>
              <w:rPr>
                <w:sz w:val="20"/>
                <w:szCs w:val="20"/>
              </w:rPr>
            </w:pPr>
          </w:p>
        </w:tc>
        <w:tc>
          <w:tcPr>
            <w:tcW w:w="680" w:type="dxa"/>
            <w:tcBorders>
              <w:top w:val="nil"/>
              <w:left w:val="nil"/>
              <w:bottom w:val="nil"/>
              <w:right w:val="nil"/>
            </w:tcBorders>
            <w:shd w:val="clear" w:color="auto" w:fill="auto"/>
            <w:noWrap/>
            <w:vAlign w:val="bottom"/>
            <w:hideMark/>
          </w:tcPr>
          <w:p w14:paraId="5E231E19" w14:textId="77777777" w:rsidR="00CD7C39" w:rsidRPr="00CD7C39" w:rsidRDefault="00CD7C39" w:rsidP="00CD7C39">
            <w:pPr>
              <w:rPr>
                <w:sz w:val="20"/>
                <w:szCs w:val="20"/>
              </w:rPr>
            </w:pPr>
          </w:p>
        </w:tc>
      </w:tr>
      <w:tr w:rsidR="00CD7C39" w:rsidRPr="00CD7C39" w14:paraId="195CA76D" w14:textId="77777777" w:rsidTr="00CD7C39">
        <w:trPr>
          <w:trHeight w:val="285"/>
        </w:trPr>
        <w:tc>
          <w:tcPr>
            <w:tcW w:w="146" w:type="dxa"/>
            <w:tcBorders>
              <w:top w:val="nil"/>
              <w:left w:val="nil"/>
              <w:bottom w:val="nil"/>
              <w:right w:val="nil"/>
            </w:tcBorders>
            <w:shd w:val="clear" w:color="auto" w:fill="auto"/>
            <w:noWrap/>
            <w:vAlign w:val="bottom"/>
            <w:hideMark/>
          </w:tcPr>
          <w:p w14:paraId="1F12BA53"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2C82B854" w14:textId="77777777" w:rsidR="00CD7C39" w:rsidRPr="00CD7C39" w:rsidRDefault="00CD7C39" w:rsidP="00CD7C39">
            <w:pPr>
              <w:rPr>
                <w:rFonts w:ascii="Arial" w:hAnsi="Arial" w:cs="Arial"/>
                <w:b/>
                <w:bCs/>
                <w:sz w:val="20"/>
                <w:szCs w:val="20"/>
                <w:u w:val="single"/>
              </w:rPr>
            </w:pPr>
            <w:r w:rsidRPr="00CD7C39">
              <w:rPr>
                <w:rFonts w:ascii="Arial" w:hAnsi="Arial" w:cs="Arial"/>
                <w:b/>
                <w:bCs/>
                <w:sz w:val="20"/>
                <w:szCs w:val="20"/>
                <w:u w:val="single"/>
              </w:rPr>
              <w:t>BANCA COMERCIAL</w:t>
            </w:r>
          </w:p>
        </w:tc>
        <w:tc>
          <w:tcPr>
            <w:tcW w:w="2573" w:type="dxa"/>
            <w:tcBorders>
              <w:top w:val="nil"/>
              <w:left w:val="nil"/>
              <w:bottom w:val="nil"/>
              <w:right w:val="nil"/>
            </w:tcBorders>
            <w:shd w:val="clear" w:color="auto" w:fill="auto"/>
            <w:noWrap/>
            <w:vAlign w:val="bottom"/>
            <w:hideMark/>
          </w:tcPr>
          <w:p w14:paraId="2DE62E81" w14:textId="77777777" w:rsidR="00CD7C39" w:rsidRPr="00CD7C39" w:rsidRDefault="00CD7C39" w:rsidP="00CD7C39">
            <w:pPr>
              <w:rPr>
                <w:rFonts w:ascii="Arial" w:hAnsi="Arial" w:cs="Arial"/>
                <w:b/>
                <w:bCs/>
                <w:sz w:val="20"/>
                <w:szCs w:val="20"/>
                <w:u w:val="single"/>
              </w:rPr>
            </w:pPr>
          </w:p>
        </w:tc>
        <w:tc>
          <w:tcPr>
            <w:tcW w:w="1330" w:type="dxa"/>
            <w:tcBorders>
              <w:top w:val="nil"/>
              <w:left w:val="nil"/>
              <w:bottom w:val="nil"/>
              <w:right w:val="nil"/>
            </w:tcBorders>
            <w:shd w:val="clear" w:color="auto" w:fill="auto"/>
            <w:noWrap/>
            <w:vAlign w:val="bottom"/>
            <w:hideMark/>
          </w:tcPr>
          <w:p w14:paraId="7292E958" w14:textId="060B1D63" w:rsidR="00CD7C39" w:rsidRPr="00CD7C39" w:rsidRDefault="00ED15E8" w:rsidP="00CD7C39">
            <w:pPr>
              <w:jc w:val="right"/>
              <w:rPr>
                <w:rFonts w:ascii="Arial" w:hAnsi="Arial" w:cs="Arial"/>
                <w:b/>
                <w:bCs/>
                <w:sz w:val="20"/>
                <w:szCs w:val="20"/>
                <w:u w:val="single"/>
              </w:rPr>
            </w:pPr>
            <w:r>
              <w:rPr>
                <w:rFonts w:ascii="Arial" w:hAnsi="Arial" w:cs="Arial"/>
                <w:b/>
                <w:bCs/>
                <w:sz w:val="20"/>
                <w:szCs w:val="20"/>
                <w:u w:val="single"/>
              </w:rPr>
              <w:t>1,187,489</w:t>
            </w:r>
          </w:p>
        </w:tc>
        <w:tc>
          <w:tcPr>
            <w:tcW w:w="680" w:type="dxa"/>
            <w:tcBorders>
              <w:top w:val="nil"/>
              <w:left w:val="nil"/>
              <w:bottom w:val="nil"/>
              <w:right w:val="nil"/>
            </w:tcBorders>
            <w:shd w:val="clear" w:color="auto" w:fill="auto"/>
            <w:noWrap/>
            <w:vAlign w:val="bottom"/>
            <w:hideMark/>
          </w:tcPr>
          <w:p w14:paraId="090ED70C" w14:textId="77777777" w:rsidR="00CD7C39" w:rsidRPr="00CD7C39" w:rsidRDefault="00CD7C39" w:rsidP="00CD7C39">
            <w:pPr>
              <w:jc w:val="right"/>
              <w:rPr>
                <w:rFonts w:ascii="Arial" w:hAnsi="Arial" w:cs="Arial"/>
                <w:b/>
                <w:bCs/>
                <w:sz w:val="20"/>
                <w:szCs w:val="20"/>
                <w:u w:val="single"/>
              </w:rPr>
            </w:pPr>
          </w:p>
        </w:tc>
      </w:tr>
      <w:tr w:rsidR="00CD7C39" w:rsidRPr="00CD7C39" w14:paraId="227B00F7" w14:textId="77777777" w:rsidTr="00CD7C39">
        <w:trPr>
          <w:trHeight w:val="285"/>
        </w:trPr>
        <w:tc>
          <w:tcPr>
            <w:tcW w:w="146" w:type="dxa"/>
            <w:tcBorders>
              <w:top w:val="nil"/>
              <w:left w:val="nil"/>
              <w:bottom w:val="nil"/>
              <w:right w:val="nil"/>
            </w:tcBorders>
            <w:shd w:val="clear" w:color="auto" w:fill="auto"/>
            <w:noWrap/>
            <w:vAlign w:val="bottom"/>
            <w:hideMark/>
          </w:tcPr>
          <w:p w14:paraId="128FBFB1"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2FB99A88" w14:textId="77777777" w:rsidR="00CD7C39" w:rsidRPr="00CD7C39" w:rsidRDefault="00CD7C39" w:rsidP="00CD7C39">
            <w:pPr>
              <w:rPr>
                <w:rFonts w:ascii="Arial" w:hAnsi="Arial" w:cs="Arial"/>
                <w:i/>
                <w:iCs/>
                <w:sz w:val="20"/>
                <w:szCs w:val="20"/>
              </w:rPr>
            </w:pPr>
            <w:r w:rsidRPr="00CD7C39">
              <w:rPr>
                <w:rFonts w:ascii="Arial" w:hAnsi="Arial" w:cs="Arial"/>
                <w:i/>
                <w:iCs/>
                <w:sz w:val="20"/>
                <w:szCs w:val="20"/>
              </w:rPr>
              <w:t xml:space="preserve">BANAMEX </w:t>
            </w:r>
          </w:p>
        </w:tc>
        <w:tc>
          <w:tcPr>
            <w:tcW w:w="2573" w:type="dxa"/>
            <w:tcBorders>
              <w:top w:val="nil"/>
              <w:left w:val="nil"/>
              <w:bottom w:val="nil"/>
              <w:right w:val="nil"/>
            </w:tcBorders>
            <w:shd w:val="clear" w:color="auto" w:fill="auto"/>
            <w:noWrap/>
            <w:vAlign w:val="bottom"/>
            <w:hideMark/>
          </w:tcPr>
          <w:p w14:paraId="7E6A13D7" w14:textId="77777777" w:rsidR="00CD7C39" w:rsidRPr="00CD7C39" w:rsidRDefault="00CD7C39" w:rsidP="00CD7C39">
            <w:pPr>
              <w:ind w:firstLineChars="300" w:firstLine="600"/>
              <w:rPr>
                <w:rFonts w:ascii="Arial" w:hAnsi="Arial" w:cs="Arial"/>
                <w:sz w:val="20"/>
                <w:szCs w:val="20"/>
              </w:rPr>
            </w:pPr>
            <w:r w:rsidRPr="00CD7C39">
              <w:rPr>
                <w:rFonts w:ascii="Arial" w:hAnsi="Arial" w:cs="Arial"/>
                <w:sz w:val="20"/>
                <w:szCs w:val="20"/>
              </w:rPr>
              <w:t xml:space="preserve"> $ 500,000.0 </w:t>
            </w:r>
          </w:p>
        </w:tc>
        <w:tc>
          <w:tcPr>
            <w:tcW w:w="1330" w:type="dxa"/>
            <w:tcBorders>
              <w:top w:val="nil"/>
              <w:left w:val="nil"/>
              <w:bottom w:val="nil"/>
              <w:right w:val="nil"/>
            </w:tcBorders>
            <w:shd w:val="clear" w:color="auto" w:fill="auto"/>
            <w:noWrap/>
            <w:vAlign w:val="bottom"/>
            <w:hideMark/>
          </w:tcPr>
          <w:p w14:paraId="46882766" w14:textId="67CF1B46" w:rsidR="00CD7C39" w:rsidRPr="00CD7C39" w:rsidRDefault="00ED15E8" w:rsidP="00CD7C39">
            <w:pPr>
              <w:jc w:val="right"/>
              <w:rPr>
                <w:rFonts w:ascii="Arial" w:hAnsi="Arial" w:cs="Arial"/>
                <w:sz w:val="20"/>
                <w:szCs w:val="20"/>
              </w:rPr>
            </w:pPr>
            <w:r>
              <w:rPr>
                <w:rFonts w:ascii="Arial" w:hAnsi="Arial" w:cs="Arial"/>
                <w:sz w:val="20"/>
                <w:szCs w:val="20"/>
              </w:rPr>
              <w:t>322,618</w:t>
            </w:r>
          </w:p>
        </w:tc>
        <w:tc>
          <w:tcPr>
            <w:tcW w:w="680" w:type="dxa"/>
            <w:tcBorders>
              <w:top w:val="nil"/>
              <w:left w:val="nil"/>
              <w:bottom w:val="nil"/>
              <w:right w:val="nil"/>
            </w:tcBorders>
            <w:shd w:val="clear" w:color="auto" w:fill="auto"/>
            <w:noWrap/>
            <w:vAlign w:val="bottom"/>
            <w:hideMark/>
          </w:tcPr>
          <w:p w14:paraId="705C5D7A" w14:textId="77777777" w:rsidR="00CD7C39" w:rsidRPr="00CD7C39" w:rsidRDefault="00CD7C39" w:rsidP="00CD7C39">
            <w:pPr>
              <w:jc w:val="right"/>
              <w:rPr>
                <w:rFonts w:ascii="Arial" w:hAnsi="Arial" w:cs="Arial"/>
                <w:sz w:val="20"/>
                <w:szCs w:val="20"/>
              </w:rPr>
            </w:pPr>
          </w:p>
        </w:tc>
      </w:tr>
      <w:tr w:rsidR="00CD7C39" w:rsidRPr="00CD7C39" w14:paraId="3A954203" w14:textId="77777777" w:rsidTr="00CD7C39">
        <w:trPr>
          <w:trHeight w:val="285"/>
        </w:trPr>
        <w:tc>
          <w:tcPr>
            <w:tcW w:w="146" w:type="dxa"/>
            <w:tcBorders>
              <w:top w:val="nil"/>
              <w:left w:val="nil"/>
              <w:bottom w:val="nil"/>
              <w:right w:val="nil"/>
            </w:tcBorders>
            <w:shd w:val="clear" w:color="auto" w:fill="auto"/>
            <w:noWrap/>
            <w:vAlign w:val="bottom"/>
            <w:hideMark/>
          </w:tcPr>
          <w:p w14:paraId="63E0D015"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429B92FD" w14:textId="77777777" w:rsidR="00CD7C39" w:rsidRPr="00CD7C39" w:rsidRDefault="00CD7C39" w:rsidP="00CD7C39">
            <w:pPr>
              <w:rPr>
                <w:rFonts w:ascii="Arial" w:hAnsi="Arial" w:cs="Arial"/>
                <w:i/>
                <w:iCs/>
                <w:sz w:val="20"/>
                <w:szCs w:val="20"/>
              </w:rPr>
            </w:pPr>
            <w:r w:rsidRPr="00CD7C39">
              <w:rPr>
                <w:rFonts w:ascii="Arial" w:hAnsi="Arial" w:cs="Arial"/>
                <w:i/>
                <w:iCs/>
                <w:sz w:val="20"/>
                <w:szCs w:val="20"/>
              </w:rPr>
              <w:t xml:space="preserve">SANTANDER </w:t>
            </w:r>
          </w:p>
        </w:tc>
        <w:tc>
          <w:tcPr>
            <w:tcW w:w="2573" w:type="dxa"/>
            <w:tcBorders>
              <w:top w:val="nil"/>
              <w:left w:val="nil"/>
              <w:bottom w:val="nil"/>
              <w:right w:val="nil"/>
            </w:tcBorders>
            <w:shd w:val="clear" w:color="auto" w:fill="auto"/>
            <w:noWrap/>
            <w:vAlign w:val="bottom"/>
            <w:hideMark/>
          </w:tcPr>
          <w:p w14:paraId="6562DA2F" w14:textId="77777777" w:rsidR="00CD7C39" w:rsidRPr="00CD7C39" w:rsidRDefault="00CD7C39" w:rsidP="00CD7C39">
            <w:pPr>
              <w:ind w:firstLineChars="300" w:firstLine="600"/>
              <w:rPr>
                <w:rFonts w:ascii="Arial" w:hAnsi="Arial" w:cs="Arial"/>
                <w:sz w:val="20"/>
                <w:szCs w:val="20"/>
              </w:rPr>
            </w:pPr>
            <w:r w:rsidRPr="00CD7C39">
              <w:rPr>
                <w:rFonts w:ascii="Arial" w:hAnsi="Arial" w:cs="Arial"/>
                <w:sz w:val="20"/>
                <w:szCs w:val="20"/>
              </w:rPr>
              <w:t xml:space="preserve"> $ 483,807.4 </w:t>
            </w:r>
          </w:p>
        </w:tc>
        <w:tc>
          <w:tcPr>
            <w:tcW w:w="1330" w:type="dxa"/>
            <w:tcBorders>
              <w:top w:val="nil"/>
              <w:left w:val="nil"/>
              <w:bottom w:val="nil"/>
              <w:right w:val="nil"/>
            </w:tcBorders>
            <w:shd w:val="clear" w:color="auto" w:fill="auto"/>
            <w:noWrap/>
            <w:vAlign w:val="bottom"/>
            <w:hideMark/>
          </w:tcPr>
          <w:p w14:paraId="1C593AF5" w14:textId="15111537" w:rsidR="00CD7C39" w:rsidRPr="00CD7C39" w:rsidRDefault="00ED15E8" w:rsidP="00CD7C39">
            <w:pPr>
              <w:jc w:val="right"/>
              <w:rPr>
                <w:rFonts w:ascii="Arial" w:hAnsi="Arial" w:cs="Arial"/>
                <w:sz w:val="20"/>
                <w:szCs w:val="20"/>
              </w:rPr>
            </w:pPr>
            <w:r>
              <w:rPr>
                <w:rFonts w:ascii="Arial" w:hAnsi="Arial" w:cs="Arial"/>
                <w:sz w:val="20"/>
                <w:szCs w:val="20"/>
              </w:rPr>
              <w:t>315,874</w:t>
            </w:r>
          </w:p>
        </w:tc>
        <w:tc>
          <w:tcPr>
            <w:tcW w:w="680" w:type="dxa"/>
            <w:tcBorders>
              <w:top w:val="nil"/>
              <w:left w:val="nil"/>
              <w:bottom w:val="nil"/>
              <w:right w:val="nil"/>
            </w:tcBorders>
            <w:shd w:val="clear" w:color="auto" w:fill="auto"/>
            <w:noWrap/>
            <w:vAlign w:val="bottom"/>
            <w:hideMark/>
          </w:tcPr>
          <w:p w14:paraId="2637827A" w14:textId="77777777" w:rsidR="00CD7C39" w:rsidRPr="00CD7C39" w:rsidRDefault="00CD7C39" w:rsidP="00CD7C39">
            <w:pPr>
              <w:jc w:val="right"/>
              <w:rPr>
                <w:rFonts w:ascii="Arial" w:hAnsi="Arial" w:cs="Arial"/>
                <w:sz w:val="20"/>
                <w:szCs w:val="20"/>
              </w:rPr>
            </w:pPr>
          </w:p>
        </w:tc>
      </w:tr>
      <w:tr w:rsidR="00CD7C39" w:rsidRPr="00CD7C39" w14:paraId="014D626C" w14:textId="77777777" w:rsidTr="00CD7C39">
        <w:trPr>
          <w:trHeight w:val="285"/>
        </w:trPr>
        <w:tc>
          <w:tcPr>
            <w:tcW w:w="146" w:type="dxa"/>
            <w:tcBorders>
              <w:top w:val="nil"/>
              <w:left w:val="nil"/>
              <w:bottom w:val="nil"/>
              <w:right w:val="nil"/>
            </w:tcBorders>
            <w:shd w:val="clear" w:color="auto" w:fill="auto"/>
            <w:noWrap/>
            <w:vAlign w:val="bottom"/>
            <w:hideMark/>
          </w:tcPr>
          <w:p w14:paraId="0B122FB4"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53BCD239" w14:textId="77777777" w:rsidR="00CD7C39" w:rsidRPr="00CD7C39" w:rsidRDefault="00CD7C39" w:rsidP="00CD7C39">
            <w:pPr>
              <w:rPr>
                <w:rFonts w:ascii="Arial" w:hAnsi="Arial" w:cs="Arial"/>
                <w:i/>
                <w:iCs/>
                <w:sz w:val="20"/>
                <w:szCs w:val="20"/>
              </w:rPr>
            </w:pPr>
            <w:r w:rsidRPr="00CD7C39">
              <w:rPr>
                <w:rFonts w:ascii="Arial" w:hAnsi="Arial" w:cs="Arial"/>
                <w:i/>
                <w:iCs/>
                <w:sz w:val="20"/>
                <w:szCs w:val="20"/>
              </w:rPr>
              <w:t>BANAMEX</w:t>
            </w:r>
          </w:p>
        </w:tc>
        <w:tc>
          <w:tcPr>
            <w:tcW w:w="2573" w:type="dxa"/>
            <w:tcBorders>
              <w:top w:val="nil"/>
              <w:left w:val="nil"/>
              <w:bottom w:val="nil"/>
              <w:right w:val="nil"/>
            </w:tcBorders>
            <w:shd w:val="clear" w:color="auto" w:fill="auto"/>
            <w:noWrap/>
            <w:vAlign w:val="bottom"/>
            <w:hideMark/>
          </w:tcPr>
          <w:p w14:paraId="0DD9B9A4" w14:textId="77777777" w:rsidR="00CD7C39" w:rsidRPr="00CD7C39" w:rsidRDefault="00CD7C39" w:rsidP="00CD7C39">
            <w:pPr>
              <w:ind w:firstLineChars="300" w:firstLine="600"/>
              <w:rPr>
                <w:rFonts w:ascii="Arial" w:hAnsi="Arial" w:cs="Arial"/>
                <w:sz w:val="20"/>
                <w:szCs w:val="20"/>
              </w:rPr>
            </w:pPr>
            <w:r w:rsidRPr="00CD7C39">
              <w:rPr>
                <w:rFonts w:ascii="Arial" w:hAnsi="Arial" w:cs="Arial"/>
                <w:sz w:val="20"/>
                <w:szCs w:val="20"/>
              </w:rPr>
              <w:t xml:space="preserve"> $ 375,000.0 </w:t>
            </w:r>
          </w:p>
        </w:tc>
        <w:tc>
          <w:tcPr>
            <w:tcW w:w="1330" w:type="dxa"/>
            <w:tcBorders>
              <w:top w:val="nil"/>
              <w:left w:val="nil"/>
              <w:bottom w:val="nil"/>
              <w:right w:val="nil"/>
            </w:tcBorders>
            <w:shd w:val="clear" w:color="auto" w:fill="auto"/>
            <w:noWrap/>
            <w:vAlign w:val="bottom"/>
            <w:hideMark/>
          </w:tcPr>
          <w:p w14:paraId="74B36F63" w14:textId="0A3150F5" w:rsidR="00CD7C39" w:rsidRPr="00CD7C39" w:rsidRDefault="00ED15E8" w:rsidP="00CD7C39">
            <w:pPr>
              <w:jc w:val="right"/>
              <w:rPr>
                <w:rFonts w:ascii="Arial" w:hAnsi="Arial" w:cs="Arial"/>
                <w:sz w:val="20"/>
                <w:szCs w:val="20"/>
              </w:rPr>
            </w:pPr>
            <w:r>
              <w:rPr>
                <w:rFonts w:ascii="Arial" w:hAnsi="Arial" w:cs="Arial"/>
                <w:sz w:val="20"/>
                <w:szCs w:val="20"/>
              </w:rPr>
              <w:t>254,286</w:t>
            </w:r>
          </w:p>
        </w:tc>
        <w:tc>
          <w:tcPr>
            <w:tcW w:w="680" w:type="dxa"/>
            <w:tcBorders>
              <w:top w:val="nil"/>
              <w:left w:val="nil"/>
              <w:bottom w:val="nil"/>
              <w:right w:val="nil"/>
            </w:tcBorders>
            <w:shd w:val="clear" w:color="auto" w:fill="auto"/>
            <w:noWrap/>
            <w:vAlign w:val="bottom"/>
            <w:hideMark/>
          </w:tcPr>
          <w:p w14:paraId="22C52C9E" w14:textId="77777777" w:rsidR="00CD7C39" w:rsidRPr="00CD7C39" w:rsidRDefault="00CD7C39" w:rsidP="00CD7C39">
            <w:pPr>
              <w:jc w:val="right"/>
              <w:rPr>
                <w:rFonts w:ascii="Arial" w:hAnsi="Arial" w:cs="Arial"/>
                <w:sz w:val="20"/>
                <w:szCs w:val="20"/>
              </w:rPr>
            </w:pPr>
          </w:p>
        </w:tc>
      </w:tr>
      <w:tr w:rsidR="00CD7C39" w:rsidRPr="00CD7C39" w14:paraId="367A2C9C" w14:textId="77777777" w:rsidTr="00CD7C39">
        <w:trPr>
          <w:trHeight w:val="285"/>
        </w:trPr>
        <w:tc>
          <w:tcPr>
            <w:tcW w:w="146" w:type="dxa"/>
            <w:tcBorders>
              <w:top w:val="nil"/>
              <w:left w:val="nil"/>
              <w:bottom w:val="nil"/>
              <w:right w:val="nil"/>
            </w:tcBorders>
            <w:shd w:val="clear" w:color="auto" w:fill="auto"/>
            <w:noWrap/>
            <w:vAlign w:val="bottom"/>
            <w:hideMark/>
          </w:tcPr>
          <w:p w14:paraId="10C5857B"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049E74AA" w14:textId="77777777" w:rsidR="00CD7C39" w:rsidRPr="00CD7C39" w:rsidRDefault="00CD7C39" w:rsidP="00CD7C39">
            <w:pPr>
              <w:rPr>
                <w:rFonts w:ascii="Arial" w:hAnsi="Arial" w:cs="Arial"/>
                <w:i/>
                <w:iCs/>
                <w:sz w:val="20"/>
                <w:szCs w:val="20"/>
              </w:rPr>
            </w:pPr>
            <w:r w:rsidRPr="00CD7C39">
              <w:rPr>
                <w:rFonts w:ascii="Arial" w:hAnsi="Arial" w:cs="Arial"/>
                <w:i/>
                <w:iCs/>
                <w:sz w:val="20"/>
                <w:szCs w:val="20"/>
              </w:rPr>
              <w:t xml:space="preserve">SANTANDER </w:t>
            </w:r>
          </w:p>
        </w:tc>
        <w:tc>
          <w:tcPr>
            <w:tcW w:w="2573" w:type="dxa"/>
            <w:tcBorders>
              <w:top w:val="nil"/>
              <w:left w:val="nil"/>
              <w:bottom w:val="nil"/>
              <w:right w:val="nil"/>
            </w:tcBorders>
            <w:shd w:val="clear" w:color="auto" w:fill="auto"/>
            <w:noWrap/>
            <w:vAlign w:val="bottom"/>
            <w:hideMark/>
          </w:tcPr>
          <w:p w14:paraId="4DEE467B" w14:textId="77777777" w:rsidR="00CD7C39" w:rsidRPr="00CD7C39" w:rsidRDefault="00CD7C39" w:rsidP="00CD7C39">
            <w:pPr>
              <w:ind w:firstLineChars="300" w:firstLine="600"/>
              <w:rPr>
                <w:rFonts w:ascii="Arial" w:hAnsi="Arial" w:cs="Arial"/>
                <w:sz w:val="20"/>
                <w:szCs w:val="20"/>
              </w:rPr>
            </w:pPr>
            <w:r w:rsidRPr="00CD7C39">
              <w:rPr>
                <w:rFonts w:ascii="Arial" w:hAnsi="Arial" w:cs="Arial"/>
                <w:sz w:val="20"/>
                <w:szCs w:val="20"/>
              </w:rPr>
              <w:t xml:space="preserve"> $ 375,000.0 </w:t>
            </w:r>
          </w:p>
        </w:tc>
        <w:tc>
          <w:tcPr>
            <w:tcW w:w="1330" w:type="dxa"/>
            <w:tcBorders>
              <w:top w:val="nil"/>
              <w:left w:val="nil"/>
              <w:bottom w:val="nil"/>
              <w:right w:val="nil"/>
            </w:tcBorders>
            <w:shd w:val="clear" w:color="auto" w:fill="auto"/>
            <w:noWrap/>
            <w:vAlign w:val="bottom"/>
            <w:hideMark/>
          </w:tcPr>
          <w:p w14:paraId="4912BF07" w14:textId="5B41B2F3" w:rsidR="00CD7C39" w:rsidRPr="00CD7C39" w:rsidRDefault="00ED15E8" w:rsidP="00CD7C39">
            <w:pPr>
              <w:jc w:val="right"/>
              <w:rPr>
                <w:rFonts w:ascii="Arial" w:hAnsi="Arial" w:cs="Arial"/>
                <w:sz w:val="20"/>
                <w:szCs w:val="20"/>
              </w:rPr>
            </w:pPr>
            <w:r>
              <w:rPr>
                <w:rFonts w:ascii="Arial" w:hAnsi="Arial" w:cs="Arial"/>
                <w:sz w:val="20"/>
                <w:szCs w:val="20"/>
              </w:rPr>
              <w:t>294,711</w:t>
            </w:r>
          </w:p>
        </w:tc>
        <w:tc>
          <w:tcPr>
            <w:tcW w:w="680" w:type="dxa"/>
            <w:tcBorders>
              <w:top w:val="nil"/>
              <w:left w:val="nil"/>
              <w:bottom w:val="nil"/>
              <w:right w:val="nil"/>
            </w:tcBorders>
            <w:shd w:val="clear" w:color="auto" w:fill="auto"/>
            <w:noWrap/>
            <w:vAlign w:val="bottom"/>
            <w:hideMark/>
          </w:tcPr>
          <w:p w14:paraId="6F3745B5" w14:textId="77777777" w:rsidR="00CD7C39" w:rsidRPr="00CD7C39" w:rsidRDefault="00CD7C39" w:rsidP="00CD7C39">
            <w:pPr>
              <w:jc w:val="right"/>
              <w:rPr>
                <w:rFonts w:ascii="Arial" w:hAnsi="Arial" w:cs="Arial"/>
                <w:sz w:val="20"/>
                <w:szCs w:val="20"/>
              </w:rPr>
            </w:pPr>
          </w:p>
        </w:tc>
      </w:tr>
      <w:tr w:rsidR="00CD7C39" w:rsidRPr="00CD7C39" w14:paraId="56849A1E" w14:textId="77777777" w:rsidTr="00CD7C39">
        <w:trPr>
          <w:trHeight w:val="240"/>
        </w:trPr>
        <w:tc>
          <w:tcPr>
            <w:tcW w:w="146" w:type="dxa"/>
            <w:tcBorders>
              <w:top w:val="nil"/>
              <w:left w:val="nil"/>
              <w:bottom w:val="nil"/>
              <w:right w:val="nil"/>
            </w:tcBorders>
            <w:shd w:val="clear" w:color="auto" w:fill="auto"/>
            <w:noWrap/>
            <w:vAlign w:val="bottom"/>
            <w:hideMark/>
          </w:tcPr>
          <w:p w14:paraId="080E4041" w14:textId="77777777" w:rsidR="00CD7C39" w:rsidRPr="00CD7C39" w:rsidRDefault="00CD7C39" w:rsidP="00CD7C39">
            <w:pPr>
              <w:rPr>
                <w:sz w:val="20"/>
                <w:szCs w:val="20"/>
              </w:rPr>
            </w:pPr>
          </w:p>
        </w:tc>
        <w:tc>
          <w:tcPr>
            <w:tcW w:w="4109" w:type="dxa"/>
            <w:tcBorders>
              <w:top w:val="nil"/>
              <w:left w:val="nil"/>
              <w:bottom w:val="nil"/>
              <w:right w:val="nil"/>
            </w:tcBorders>
            <w:shd w:val="clear" w:color="auto" w:fill="auto"/>
            <w:noWrap/>
            <w:vAlign w:val="bottom"/>
            <w:hideMark/>
          </w:tcPr>
          <w:p w14:paraId="25C3C074" w14:textId="77777777" w:rsidR="00CD7C39" w:rsidRPr="00CD7C39" w:rsidRDefault="00CD7C39" w:rsidP="00CD7C39">
            <w:pPr>
              <w:rPr>
                <w:sz w:val="20"/>
                <w:szCs w:val="20"/>
              </w:rPr>
            </w:pPr>
          </w:p>
        </w:tc>
        <w:tc>
          <w:tcPr>
            <w:tcW w:w="2573" w:type="dxa"/>
            <w:tcBorders>
              <w:top w:val="nil"/>
              <w:left w:val="nil"/>
              <w:bottom w:val="nil"/>
              <w:right w:val="nil"/>
            </w:tcBorders>
            <w:shd w:val="clear" w:color="auto" w:fill="auto"/>
            <w:noWrap/>
            <w:vAlign w:val="bottom"/>
            <w:hideMark/>
          </w:tcPr>
          <w:p w14:paraId="61BAD684" w14:textId="77777777" w:rsidR="00CD7C39" w:rsidRPr="00CD7C39" w:rsidRDefault="00CD7C39" w:rsidP="00CD7C39">
            <w:pPr>
              <w:rPr>
                <w:sz w:val="20"/>
                <w:szCs w:val="20"/>
              </w:rPr>
            </w:pPr>
          </w:p>
        </w:tc>
        <w:tc>
          <w:tcPr>
            <w:tcW w:w="1330" w:type="dxa"/>
            <w:tcBorders>
              <w:top w:val="nil"/>
              <w:left w:val="nil"/>
              <w:bottom w:val="nil"/>
              <w:right w:val="nil"/>
            </w:tcBorders>
            <w:shd w:val="clear" w:color="auto" w:fill="auto"/>
            <w:noWrap/>
            <w:vAlign w:val="bottom"/>
            <w:hideMark/>
          </w:tcPr>
          <w:p w14:paraId="57C45E84" w14:textId="77777777" w:rsidR="00CD7C39" w:rsidRPr="00CD7C39" w:rsidRDefault="00CD7C39" w:rsidP="00CD7C39">
            <w:pPr>
              <w:rPr>
                <w:sz w:val="20"/>
                <w:szCs w:val="20"/>
              </w:rPr>
            </w:pPr>
          </w:p>
        </w:tc>
        <w:tc>
          <w:tcPr>
            <w:tcW w:w="680" w:type="dxa"/>
            <w:tcBorders>
              <w:top w:val="nil"/>
              <w:left w:val="nil"/>
              <w:bottom w:val="nil"/>
              <w:right w:val="nil"/>
            </w:tcBorders>
            <w:shd w:val="clear" w:color="auto" w:fill="auto"/>
            <w:noWrap/>
            <w:vAlign w:val="bottom"/>
            <w:hideMark/>
          </w:tcPr>
          <w:p w14:paraId="236AE29E" w14:textId="77777777" w:rsidR="00CD7C39" w:rsidRPr="00CD7C39" w:rsidRDefault="00CD7C39" w:rsidP="00CD7C39">
            <w:pPr>
              <w:rPr>
                <w:sz w:val="20"/>
                <w:szCs w:val="20"/>
              </w:rPr>
            </w:pPr>
          </w:p>
        </w:tc>
      </w:tr>
    </w:tbl>
    <w:p w14:paraId="5193BCAD" w14:textId="77777777" w:rsidR="00CD7C39" w:rsidRDefault="00CD7C39" w:rsidP="00FE6BF1">
      <w:pPr>
        <w:autoSpaceDE w:val="0"/>
        <w:autoSpaceDN w:val="0"/>
        <w:adjustRightInd w:val="0"/>
        <w:spacing w:line="420" w:lineRule="exact"/>
        <w:jc w:val="both"/>
        <w:rPr>
          <w:rFonts w:ascii="Arial" w:hAnsi="Arial" w:cs="Arial"/>
          <w:sz w:val="20"/>
          <w:szCs w:val="20"/>
        </w:rPr>
      </w:pPr>
    </w:p>
    <w:p w14:paraId="2BBA0979" w14:textId="77777777" w:rsidR="00CD7C39" w:rsidRPr="00933A23" w:rsidRDefault="00CD7C39" w:rsidP="00FE6BF1">
      <w:pPr>
        <w:autoSpaceDE w:val="0"/>
        <w:autoSpaceDN w:val="0"/>
        <w:adjustRightInd w:val="0"/>
        <w:spacing w:line="420" w:lineRule="exact"/>
        <w:jc w:val="both"/>
        <w:rPr>
          <w:rFonts w:ascii="Arial" w:hAnsi="Arial" w:cs="Arial"/>
          <w:sz w:val="20"/>
          <w:szCs w:val="20"/>
        </w:rPr>
      </w:pPr>
    </w:p>
    <w:p w14:paraId="3AB048FA" w14:textId="256B31E2" w:rsidR="00FF7342" w:rsidRPr="00F00671" w:rsidRDefault="00F8346C" w:rsidP="00FF7342">
      <w:pPr>
        <w:rPr>
          <w:rFonts w:ascii="Arial" w:hAnsi="Arial" w:cs="Arial"/>
          <w:sz w:val="16"/>
          <w:szCs w:val="16"/>
        </w:rPr>
      </w:pPr>
      <w:r>
        <w:rPr>
          <w:rFonts w:ascii="Arial" w:hAnsi="Arial" w:cs="Arial"/>
        </w:rPr>
        <w:t xml:space="preserve"> </w:t>
      </w:r>
      <w:r w:rsidR="00F00671">
        <w:rPr>
          <w:rFonts w:ascii="Arial" w:hAnsi="Arial" w:cs="Arial"/>
        </w:rPr>
        <w:t>“</w:t>
      </w:r>
      <w:r w:rsidR="00F00671">
        <w:rPr>
          <w:rFonts w:ascii="Arial" w:hAnsi="Arial" w:cs="Arial"/>
          <w:sz w:val="16"/>
          <w:szCs w:val="16"/>
        </w:rPr>
        <w:t>Bajo protesta de decir verdad declaramos que los estados financieros y sus notas son correctas, verídicas y responsabilidad del emisor”</w:t>
      </w:r>
    </w:p>
    <w:p w14:paraId="64373013" w14:textId="7F29EDEB" w:rsidR="00FF7342" w:rsidRPr="00FF7342" w:rsidRDefault="00FF7342" w:rsidP="00FF7342">
      <w:pPr>
        <w:rPr>
          <w:rFonts w:ascii="Arial" w:hAnsi="Arial" w:cs="Arial"/>
        </w:rPr>
      </w:pPr>
    </w:p>
    <w:p w14:paraId="1E749D24" w14:textId="34083476" w:rsidR="004E3D05" w:rsidRDefault="004E3D05">
      <w:pPr>
        <w:rPr>
          <w:rFonts w:ascii="Arial" w:hAnsi="Arial" w:cs="Arial"/>
        </w:rPr>
      </w:pPr>
    </w:p>
    <w:p w14:paraId="334B4216" w14:textId="77777777" w:rsidR="00CD7C39" w:rsidRDefault="00CD7C39">
      <w:pPr>
        <w:rPr>
          <w:rFonts w:ascii="Arial" w:hAnsi="Arial" w:cs="Arial"/>
        </w:rPr>
      </w:pPr>
    </w:p>
    <w:p w14:paraId="6933236D" w14:textId="77777777" w:rsidR="00CD7C39" w:rsidRDefault="00CD7C39">
      <w:pPr>
        <w:rPr>
          <w:rFonts w:ascii="Arial" w:hAnsi="Arial" w:cs="Arial"/>
        </w:rPr>
      </w:pPr>
    </w:p>
    <w:p w14:paraId="499DFDEC" w14:textId="43800E86" w:rsidR="00343FAA" w:rsidRDefault="00343FAA">
      <w:pPr>
        <w:rPr>
          <w:rFonts w:ascii="Arial" w:hAnsi="Arial" w:cs="Arial"/>
        </w:rPr>
      </w:pPr>
    </w:p>
    <w:p w14:paraId="77E6C45D" w14:textId="77777777" w:rsidR="00FE6BF1" w:rsidRDefault="00FE6BF1">
      <w:pPr>
        <w:rPr>
          <w:rFonts w:ascii="Arial" w:hAnsi="Arial" w:cs="Arial"/>
        </w:rPr>
      </w:pPr>
    </w:p>
    <w:p w14:paraId="6B081094" w14:textId="77777777" w:rsidR="00FE6BF1" w:rsidRDefault="00FE6BF1">
      <w:pPr>
        <w:rPr>
          <w:rFonts w:ascii="Arial" w:hAnsi="Arial" w:cs="Arial"/>
        </w:rPr>
      </w:pPr>
    </w:p>
    <w:p w14:paraId="4D2329B7" w14:textId="4A5E60AA" w:rsidR="00343FAA" w:rsidRDefault="00343FAA">
      <w:pPr>
        <w:rPr>
          <w:rFonts w:ascii="Arial" w:hAnsi="Arial" w:cs="Arial"/>
        </w:rPr>
      </w:pPr>
    </w:p>
    <w:p w14:paraId="5904294C" w14:textId="53BC8F67" w:rsidR="00343FAA" w:rsidRDefault="00343FAA">
      <w:pPr>
        <w:rPr>
          <w:rFonts w:ascii="Arial" w:hAnsi="Arial" w:cs="Arial"/>
        </w:rPr>
      </w:pPr>
    </w:p>
    <w:p w14:paraId="0FB11DF5" w14:textId="7E466BAE" w:rsidR="00343FAA" w:rsidRDefault="00343FAA">
      <w:pPr>
        <w:rPr>
          <w:rFonts w:ascii="Arial" w:hAnsi="Arial" w:cs="Arial"/>
        </w:rPr>
      </w:pPr>
    </w:p>
    <w:p w14:paraId="18D6EF36" w14:textId="432C7926" w:rsidR="00343FAA" w:rsidRDefault="00343FAA">
      <w:pPr>
        <w:rPr>
          <w:rFonts w:ascii="Arial" w:hAnsi="Arial" w:cs="Arial"/>
        </w:rPr>
      </w:pPr>
    </w:p>
    <w:sectPr w:rsidR="00343FAA" w:rsidSect="00094832">
      <w:headerReference w:type="default" r:id="rId12"/>
      <w:footerReference w:type="default" r:id="rId13"/>
      <w:pgSz w:w="12240" w:h="15840"/>
      <w:pgMar w:top="1945" w:right="1701" w:bottom="851"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D466F" w14:textId="77777777" w:rsidR="002270BD" w:rsidRDefault="002270BD" w:rsidP="00541609">
      <w:r>
        <w:separator/>
      </w:r>
    </w:p>
  </w:endnote>
  <w:endnote w:type="continuationSeparator" w:id="0">
    <w:p w14:paraId="4659A9CB" w14:textId="77777777" w:rsidR="002270BD" w:rsidRDefault="002270BD" w:rsidP="0054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495820"/>
      <w:docPartObj>
        <w:docPartGallery w:val="Page Numbers (Bottom of Page)"/>
        <w:docPartUnique/>
      </w:docPartObj>
    </w:sdtPr>
    <w:sdtEndPr/>
    <w:sdtContent>
      <w:p w14:paraId="2A99BD5D" w14:textId="01490E5F" w:rsidR="00D409A3" w:rsidRDefault="00D409A3">
        <w:pPr>
          <w:pStyle w:val="Piedepgina"/>
          <w:jc w:val="center"/>
        </w:pPr>
      </w:p>
      <w:p w14:paraId="670265A9" w14:textId="77E3CB98" w:rsidR="00D409A3" w:rsidRDefault="002270BD">
        <w:pPr>
          <w:pStyle w:val="Piedepgina"/>
          <w:jc w:val="center"/>
        </w:pPr>
      </w:p>
    </w:sdtContent>
  </w:sdt>
  <w:p w14:paraId="38EBB95B" w14:textId="77777777" w:rsidR="00D409A3" w:rsidRDefault="00D409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0E80" w14:textId="77777777" w:rsidR="002270BD" w:rsidRDefault="002270BD" w:rsidP="00541609">
      <w:r>
        <w:separator/>
      </w:r>
    </w:p>
  </w:footnote>
  <w:footnote w:type="continuationSeparator" w:id="0">
    <w:p w14:paraId="1601C462" w14:textId="77777777" w:rsidR="002270BD" w:rsidRDefault="002270BD" w:rsidP="00541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B959" w14:textId="37038126" w:rsidR="00D409A3" w:rsidRDefault="00D409A3" w:rsidP="00922604">
    <w:pPr>
      <w:pStyle w:val="Encabezad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7AE0"/>
    <w:multiLevelType w:val="hybridMultilevel"/>
    <w:tmpl w:val="113A1BF6"/>
    <w:lvl w:ilvl="0" w:tplc="080A0019">
      <w:start w:val="1"/>
      <w:numFmt w:val="lowerLetter"/>
      <w:lvlText w:val="%1."/>
      <w:lvlJc w:val="left"/>
      <w:pPr>
        <w:ind w:left="357" w:hanging="360"/>
      </w:pPr>
    </w:lvl>
    <w:lvl w:ilvl="1" w:tplc="080A0019" w:tentative="1">
      <w:start w:val="1"/>
      <w:numFmt w:val="lowerLetter"/>
      <w:lvlText w:val="%2."/>
      <w:lvlJc w:val="left"/>
      <w:pPr>
        <w:ind w:left="1077" w:hanging="360"/>
      </w:pPr>
    </w:lvl>
    <w:lvl w:ilvl="2" w:tplc="080A001B" w:tentative="1">
      <w:start w:val="1"/>
      <w:numFmt w:val="lowerRoman"/>
      <w:lvlText w:val="%3."/>
      <w:lvlJc w:val="right"/>
      <w:pPr>
        <w:ind w:left="1797" w:hanging="180"/>
      </w:pPr>
    </w:lvl>
    <w:lvl w:ilvl="3" w:tplc="080A000F" w:tentative="1">
      <w:start w:val="1"/>
      <w:numFmt w:val="decimal"/>
      <w:lvlText w:val="%4."/>
      <w:lvlJc w:val="left"/>
      <w:pPr>
        <w:ind w:left="2517" w:hanging="360"/>
      </w:pPr>
    </w:lvl>
    <w:lvl w:ilvl="4" w:tplc="080A0019" w:tentative="1">
      <w:start w:val="1"/>
      <w:numFmt w:val="lowerLetter"/>
      <w:lvlText w:val="%5."/>
      <w:lvlJc w:val="left"/>
      <w:pPr>
        <w:ind w:left="3237" w:hanging="360"/>
      </w:pPr>
    </w:lvl>
    <w:lvl w:ilvl="5" w:tplc="080A001B" w:tentative="1">
      <w:start w:val="1"/>
      <w:numFmt w:val="lowerRoman"/>
      <w:lvlText w:val="%6."/>
      <w:lvlJc w:val="right"/>
      <w:pPr>
        <w:ind w:left="3957" w:hanging="180"/>
      </w:pPr>
    </w:lvl>
    <w:lvl w:ilvl="6" w:tplc="080A000F" w:tentative="1">
      <w:start w:val="1"/>
      <w:numFmt w:val="decimal"/>
      <w:lvlText w:val="%7."/>
      <w:lvlJc w:val="left"/>
      <w:pPr>
        <w:ind w:left="4677" w:hanging="360"/>
      </w:pPr>
    </w:lvl>
    <w:lvl w:ilvl="7" w:tplc="080A0019" w:tentative="1">
      <w:start w:val="1"/>
      <w:numFmt w:val="lowerLetter"/>
      <w:lvlText w:val="%8."/>
      <w:lvlJc w:val="left"/>
      <w:pPr>
        <w:ind w:left="5397" w:hanging="360"/>
      </w:pPr>
    </w:lvl>
    <w:lvl w:ilvl="8" w:tplc="080A001B" w:tentative="1">
      <w:start w:val="1"/>
      <w:numFmt w:val="lowerRoman"/>
      <w:lvlText w:val="%9."/>
      <w:lvlJc w:val="right"/>
      <w:pPr>
        <w:ind w:left="6117" w:hanging="180"/>
      </w:pPr>
    </w:lvl>
  </w:abstractNum>
  <w:abstractNum w:abstractNumId="1">
    <w:nsid w:val="34B673A4"/>
    <w:multiLevelType w:val="hybridMultilevel"/>
    <w:tmpl w:val="7CD22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B2D5FF6"/>
    <w:multiLevelType w:val="hybridMultilevel"/>
    <w:tmpl w:val="B18CBA8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FA385A"/>
    <w:multiLevelType w:val="hybridMultilevel"/>
    <w:tmpl w:val="54DE3D32"/>
    <w:lvl w:ilvl="0" w:tplc="E632981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E460D3"/>
    <w:multiLevelType w:val="hybridMultilevel"/>
    <w:tmpl w:val="8D06AA12"/>
    <w:lvl w:ilvl="0" w:tplc="8FE6E4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475912"/>
    <w:multiLevelType w:val="hybridMultilevel"/>
    <w:tmpl w:val="EAEC0BE6"/>
    <w:lvl w:ilvl="0" w:tplc="8FE6E4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9CD05FD"/>
    <w:multiLevelType w:val="hybridMultilevel"/>
    <w:tmpl w:val="6C9AC07C"/>
    <w:lvl w:ilvl="0" w:tplc="07443584">
      <w:start w:val="3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DF2056"/>
    <w:multiLevelType w:val="hybridMultilevel"/>
    <w:tmpl w:val="9C527A36"/>
    <w:lvl w:ilvl="0" w:tplc="5E067EB0">
      <w:numFmt w:val="bullet"/>
      <w:lvlText w:val=""/>
      <w:lvlJc w:val="left"/>
      <w:pPr>
        <w:ind w:left="1068" w:hanging="360"/>
      </w:pPr>
      <w:rPr>
        <w:rFonts w:ascii="Symbol" w:eastAsiaTheme="minorEastAsia"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6"/>
    <w:rsid w:val="00001E34"/>
    <w:rsid w:val="00006583"/>
    <w:rsid w:val="00007BB9"/>
    <w:rsid w:val="0001476B"/>
    <w:rsid w:val="0001777B"/>
    <w:rsid w:val="0002083E"/>
    <w:rsid w:val="00021CD6"/>
    <w:rsid w:val="00022E80"/>
    <w:rsid w:val="000360A5"/>
    <w:rsid w:val="00042545"/>
    <w:rsid w:val="00044087"/>
    <w:rsid w:val="00044431"/>
    <w:rsid w:val="000451E4"/>
    <w:rsid w:val="0004598E"/>
    <w:rsid w:val="00050BD2"/>
    <w:rsid w:val="0005271A"/>
    <w:rsid w:val="0005348B"/>
    <w:rsid w:val="00053883"/>
    <w:rsid w:val="00053B7B"/>
    <w:rsid w:val="000543B1"/>
    <w:rsid w:val="00056087"/>
    <w:rsid w:val="00057944"/>
    <w:rsid w:val="00060197"/>
    <w:rsid w:val="00060C9D"/>
    <w:rsid w:val="00064231"/>
    <w:rsid w:val="00067249"/>
    <w:rsid w:val="000718A3"/>
    <w:rsid w:val="00072936"/>
    <w:rsid w:val="000729D0"/>
    <w:rsid w:val="00076F52"/>
    <w:rsid w:val="00082C00"/>
    <w:rsid w:val="000841BB"/>
    <w:rsid w:val="00086209"/>
    <w:rsid w:val="00094832"/>
    <w:rsid w:val="0009636C"/>
    <w:rsid w:val="000A2F5F"/>
    <w:rsid w:val="000A747D"/>
    <w:rsid w:val="000B62BA"/>
    <w:rsid w:val="000C111C"/>
    <w:rsid w:val="000C273F"/>
    <w:rsid w:val="000C4AF7"/>
    <w:rsid w:val="000D27DC"/>
    <w:rsid w:val="000D294B"/>
    <w:rsid w:val="000D30B5"/>
    <w:rsid w:val="000E089F"/>
    <w:rsid w:val="000E42B2"/>
    <w:rsid w:val="000E4F19"/>
    <w:rsid w:val="000E4F9B"/>
    <w:rsid w:val="000F6AF0"/>
    <w:rsid w:val="001034CB"/>
    <w:rsid w:val="00113FF7"/>
    <w:rsid w:val="001141B7"/>
    <w:rsid w:val="00114207"/>
    <w:rsid w:val="001172A7"/>
    <w:rsid w:val="00120DE6"/>
    <w:rsid w:val="00122602"/>
    <w:rsid w:val="001255EC"/>
    <w:rsid w:val="001376EA"/>
    <w:rsid w:val="00140CD9"/>
    <w:rsid w:val="00142250"/>
    <w:rsid w:val="00142A0B"/>
    <w:rsid w:val="00144D23"/>
    <w:rsid w:val="001467EF"/>
    <w:rsid w:val="00146AE3"/>
    <w:rsid w:val="00151F10"/>
    <w:rsid w:val="001523E8"/>
    <w:rsid w:val="00152F45"/>
    <w:rsid w:val="0015379D"/>
    <w:rsid w:val="00154F5F"/>
    <w:rsid w:val="0015780C"/>
    <w:rsid w:val="00161127"/>
    <w:rsid w:val="00163654"/>
    <w:rsid w:val="001722E6"/>
    <w:rsid w:val="001724DE"/>
    <w:rsid w:val="001727D6"/>
    <w:rsid w:val="001764E7"/>
    <w:rsid w:val="001770D8"/>
    <w:rsid w:val="00177A9B"/>
    <w:rsid w:val="001818CC"/>
    <w:rsid w:val="00182489"/>
    <w:rsid w:val="0018302A"/>
    <w:rsid w:val="00186FEB"/>
    <w:rsid w:val="001903B8"/>
    <w:rsid w:val="00190A49"/>
    <w:rsid w:val="00197C85"/>
    <w:rsid w:val="001A0A05"/>
    <w:rsid w:val="001A2169"/>
    <w:rsid w:val="001A2765"/>
    <w:rsid w:val="001A5884"/>
    <w:rsid w:val="001A6178"/>
    <w:rsid w:val="001A6E60"/>
    <w:rsid w:val="001B1460"/>
    <w:rsid w:val="001B6B81"/>
    <w:rsid w:val="001C2D07"/>
    <w:rsid w:val="001C3681"/>
    <w:rsid w:val="001C760C"/>
    <w:rsid w:val="001D4180"/>
    <w:rsid w:val="001D5027"/>
    <w:rsid w:val="001D5642"/>
    <w:rsid w:val="001E044C"/>
    <w:rsid w:val="001E4C5D"/>
    <w:rsid w:val="001E575D"/>
    <w:rsid w:val="001E6197"/>
    <w:rsid w:val="001E6B14"/>
    <w:rsid w:val="001F7700"/>
    <w:rsid w:val="002030A4"/>
    <w:rsid w:val="002063D9"/>
    <w:rsid w:val="00206ED0"/>
    <w:rsid w:val="00210C3E"/>
    <w:rsid w:val="00213436"/>
    <w:rsid w:val="00213AD8"/>
    <w:rsid w:val="002140F8"/>
    <w:rsid w:val="0021649A"/>
    <w:rsid w:val="00217E2B"/>
    <w:rsid w:val="00220303"/>
    <w:rsid w:val="0022178E"/>
    <w:rsid w:val="00223572"/>
    <w:rsid w:val="00226543"/>
    <w:rsid w:val="002270BD"/>
    <w:rsid w:val="00231528"/>
    <w:rsid w:val="002335F6"/>
    <w:rsid w:val="00237390"/>
    <w:rsid w:val="002378CF"/>
    <w:rsid w:val="00243BFB"/>
    <w:rsid w:val="00243EE0"/>
    <w:rsid w:val="0024429D"/>
    <w:rsid w:val="0024585C"/>
    <w:rsid w:val="0024608A"/>
    <w:rsid w:val="00250790"/>
    <w:rsid w:val="002519DE"/>
    <w:rsid w:val="002564E0"/>
    <w:rsid w:val="002568F0"/>
    <w:rsid w:val="00263AE7"/>
    <w:rsid w:val="00266569"/>
    <w:rsid w:val="00271A5A"/>
    <w:rsid w:val="002745B7"/>
    <w:rsid w:val="00275402"/>
    <w:rsid w:val="00275B32"/>
    <w:rsid w:val="002841DE"/>
    <w:rsid w:val="0028568F"/>
    <w:rsid w:val="0028676A"/>
    <w:rsid w:val="002903FD"/>
    <w:rsid w:val="002913EB"/>
    <w:rsid w:val="00295C95"/>
    <w:rsid w:val="00297699"/>
    <w:rsid w:val="002A3270"/>
    <w:rsid w:val="002A6115"/>
    <w:rsid w:val="002B35B5"/>
    <w:rsid w:val="002C1647"/>
    <w:rsid w:val="002C1C95"/>
    <w:rsid w:val="002C2F8C"/>
    <w:rsid w:val="002C3172"/>
    <w:rsid w:val="002C5998"/>
    <w:rsid w:val="002C73BC"/>
    <w:rsid w:val="002D0248"/>
    <w:rsid w:val="002D076B"/>
    <w:rsid w:val="002D1528"/>
    <w:rsid w:val="002D5256"/>
    <w:rsid w:val="002D76F0"/>
    <w:rsid w:val="002D7B72"/>
    <w:rsid w:val="002E2E98"/>
    <w:rsid w:val="002E4049"/>
    <w:rsid w:val="002E7A15"/>
    <w:rsid w:val="002F4B0E"/>
    <w:rsid w:val="002F5AA6"/>
    <w:rsid w:val="002F5E9A"/>
    <w:rsid w:val="002F71B7"/>
    <w:rsid w:val="00304B21"/>
    <w:rsid w:val="00306028"/>
    <w:rsid w:val="00306A1D"/>
    <w:rsid w:val="00321EC4"/>
    <w:rsid w:val="0032260D"/>
    <w:rsid w:val="003259BB"/>
    <w:rsid w:val="003260D1"/>
    <w:rsid w:val="003270CB"/>
    <w:rsid w:val="003377A9"/>
    <w:rsid w:val="00343FAA"/>
    <w:rsid w:val="00344684"/>
    <w:rsid w:val="00344806"/>
    <w:rsid w:val="00346F2D"/>
    <w:rsid w:val="003529BF"/>
    <w:rsid w:val="00355DF6"/>
    <w:rsid w:val="00357811"/>
    <w:rsid w:val="003616F2"/>
    <w:rsid w:val="0036262D"/>
    <w:rsid w:val="00364D08"/>
    <w:rsid w:val="00365029"/>
    <w:rsid w:val="00371783"/>
    <w:rsid w:val="003746DF"/>
    <w:rsid w:val="0037625C"/>
    <w:rsid w:val="00376E31"/>
    <w:rsid w:val="00380580"/>
    <w:rsid w:val="00380E8D"/>
    <w:rsid w:val="0038107C"/>
    <w:rsid w:val="00381700"/>
    <w:rsid w:val="00384358"/>
    <w:rsid w:val="003905FB"/>
    <w:rsid w:val="00391F79"/>
    <w:rsid w:val="003937F1"/>
    <w:rsid w:val="00394814"/>
    <w:rsid w:val="00396DA2"/>
    <w:rsid w:val="003A0DC9"/>
    <w:rsid w:val="003A1C48"/>
    <w:rsid w:val="003A6615"/>
    <w:rsid w:val="003B1B98"/>
    <w:rsid w:val="003B59DF"/>
    <w:rsid w:val="003B7AE1"/>
    <w:rsid w:val="003C00D3"/>
    <w:rsid w:val="003C1240"/>
    <w:rsid w:val="003C168E"/>
    <w:rsid w:val="003C26C3"/>
    <w:rsid w:val="003C4325"/>
    <w:rsid w:val="003C48A6"/>
    <w:rsid w:val="003C5254"/>
    <w:rsid w:val="003D1BCD"/>
    <w:rsid w:val="003D3D46"/>
    <w:rsid w:val="003D4C99"/>
    <w:rsid w:val="003D5EF3"/>
    <w:rsid w:val="003D60B4"/>
    <w:rsid w:val="003D7F03"/>
    <w:rsid w:val="003E0334"/>
    <w:rsid w:val="003E6AEA"/>
    <w:rsid w:val="003E781F"/>
    <w:rsid w:val="003F3D26"/>
    <w:rsid w:val="00402BA2"/>
    <w:rsid w:val="00405203"/>
    <w:rsid w:val="00407E25"/>
    <w:rsid w:val="00410E88"/>
    <w:rsid w:val="00411937"/>
    <w:rsid w:val="00413408"/>
    <w:rsid w:val="00415663"/>
    <w:rsid w:val="0041566E"/>
    <w:rsid w:val="0042212D"/>
    <w:rsid w:val="00425ADF"/>
    <w:rsid w:val="00426599"/>
    <w:rsid w:val="00427303"/>
    <w:rsid w:val="00430AB9"/>
    <w:rsid w:val="00431BD6"/>
    <w:rsid w:val="004342B6"/>
    <w:rsid w:val="004410E9"/>
    <w:rsid w:val="0045068C"/>
    <w:rsid w:val="00451157"/>
    <w:rsid w:val="00452EF2"/>
    <w:rsid w:val="004542DA"/>
    <w:rsid w:val="004572FF"/>
    <w:rsid w:val="004602A7"/>
    <w:rsid w:val="00462D91"/>
    <w:rsid w:val="004709BF"/>
    <w:rsid w:val="0047146E"/>
    <w:rsid w:val="004766F8"/>
    <w:rsid w:val="00477EF5"/>
    <w:rsid w:val="00484B55"/>
    <w:rsid w:val="004907B8"/>
    <w:rsid w:val="00493B9B"/>
    <w:rsid w:val="00494081"/>
    <w:rsid w:val="004A545A"/>
    <w:rsid w:val="004B00B0"/>
    <w:rsid w:val="004B5AD9"/>
    <w:rsid w:val="004B6E31"/>
    <w:rsid w:val="004B7D70"/>
    <w:rsid w:val="004C0E97"/>
    <w:rsid w:val="004C3B53"/>
    <w:rsid w:val="004D11D4"/>
    <w:rsid w:val="004D239A"/>
    <w:rsid w:val="004D4017"/>
    <w:rsid w:val="004D71AB"/>
    <w:rsid w:val="004E337F"/>
    <w:rsid w:val="004E3D05"/>
    <w:rsid w:val="004E57C6"/>
    <w:rsid w:val="004E59E2"/>
    <w:rsid w:val="004E61F8"/>
    <w:rsid w:val="004E6632"/>
    <w:rsid w:val="004F57E5"/>
    <w:rsid w:val="004F725E"/>
    <w:rsid w:val="00504CDB"/>
    <w:rsid w:val="00504E0A"/>
    <w:rsid w:val="00506365"/>
    <w:rsid w:val="0051165D"/>
    <w:rsid w:val="00511D6B"/>
    <w:rsid w:val="005123D6"/>
    <w:rsid w:val="00513F37"/>
    <w:rsid w:val="00515FB5"/>
    <w:rsid w:val="005215B4"/>
    <w:rsid w:val="00521630"/>
    <w:rsid w:val="00521645"/>
    <w:rsid w:val="005224E6"/>
    <w:rsid w:val="0052406C"/>
    <w:rsid w:val="00524E16"/>
    <w:rsid w:val="0052713E"/>
    <w:rsid w:val="005272EC"/>
    <w:rsid w:val="0053244E"/>
    <w:rsid w:val="00534564"/>
    <w:rsid w:val="005371D2"/>
    <w:rsid w:val="0053722E"/>
    <w:rsid w:val="00541119"/>
    <w:rsid w:val="00541609"/>
    <w:rsid w:val="00542174"/>
    <w:rsid w:val="00544478"/>
    <w:rsid w:val="0055329A"/>
    <w:rsid w:val="00556448"/>
    <w:rsid w:val="00557783"/>
    <w:rsid w:val="00560CC4"/>
    <w:rsid w:val="005610B4"/>
    <w:rsid w:val="005670E4"/>
    <w:rsid w:val="00574200"/>
    <w:rsid w:val="00574BFB"/>
    <w:rsid w:val="005753BD"/>
    <w:rsid w:val="0057583A"/>
    <w:rsid w:val="0057618B"/>
    <w:rsid w:val="00576F29"/>
    <w:rsid w:val="0057730F"/>
    <w:rsid w:val="005773AD"/>
    <w:rsid w:val="0058385C"/>
    <w:rsid w:val="005844CF"/>
    <w:rsid w:val="00584A30"/>
    <w:rsid w:val="00586101"/>
    <w:rsid w:val="005866D9"/>
    <w:rsid w:val="0059056E"/>
    <w:rsid w:val="00591A71"/>
    <w:rsid w:val="00593923"/>
    <w:rsid w:val="00595EFE"/>
    <w:rsid w:val="005A1015"/>
    <w:rsid w:val="005A1389"/>
    <w:rsid w:val="005A1B65"/>
    <w:rsid w:val="005A4B60"/>
    <w:rsid w:val="005B2031"/>
    <w:rsid w:val="005B5A29"/>
    <w:rsid w:val="005B7447"/>
    <w:rsid w:val="005B74E9"/>
    <w:rsid w:val="005B7A90"/>
    <w:rsid w:val="005C32D3"/>
    <w:rsid w:val="005C5B35"/>
    <w:rsid w:val="005C79FB"/>
    <w:rsid w:val="005D1F7F"/>
    <w:rsid w:val="005D3CC5"/>
    <w:rsid w:val="005D4EFE"/>
    <w:rsid w:val="005D59DC"/>
    <w:rsid w:val="005D7792"/>
    <w:rsid w:val="005E42A9"/>
    <w:rsid w:val="005E7BAA"/>
    <w:rsid w:val="005F1FB0"/>
    <w:rsid w:val="005F6FE6"/>
    <w:rsid w:val="005F7103"/>
    <w:rsid w:val="005F7E85"/>
    <w:rsid w:val="00600A01"/>
    <w:rsid w:val="00600A90"/>
    <w:rsid w:val="00601F20"/>
    <w:rsid w:val="006025BF"/>
    <w:rsid w:val="00604976"/>
    <w:rsid w:val="006144A5"/>
    <w:rsid w:val="00627B01"/>
    <w:rsid w:val="00630D7A"/>
    <w:rsid w:val="00630F50"/>
    <w:rsid w:val="00633717"/>
    <w:rsid w:val="00634448"/>
    <w:rsid w:val="00634509"/>
    <w:rsid w:val="00636D4E"/>
    <w:rsid w:val="0064010B"/>
    <w:rsid w:val="00641930"/>
    <w:rsid w:val="00645858"/>
    <w:rsid w:val="00646D90"/>
    <w:rsid w:val="00651176"/>
    <w:rsid w:val="00651DAB"/>
    <w:rsid w:val="006543A2"/>
    <w:rsid w:val="00660205"/>
    <w:rsid w:val="00662FA3"/>
    <w:rsid w:val="006641FB"/>
    <w:rsid w:val="00670505"/>
    <w:rsid w:val="0067304B"/>
    <w:rsid w:val="00676070"/>
    <w:rsid w:val="0068181E"/>
    <w:rsid w:val="00681E14"/>
    <w:rsid w:val="0068529A"/>
    <w:rsid w:val="00687DAF"/>
    <w:rsid w:val="00690C22"/>
    <w:rsid w:val="0069581B"/>
    <w:rsid w:val="0069640A"/>
    <w:rsid w:val="00696C04"/>
    <w:rsid w:val="006A3507"/>
    <w:rsid w:val="006A3E6F"/>
    <w:rsid w:val="006A4E61"/>
    <w:rsid w:val="006A6A4B"/>
    <w:rsid w:val="006B4B95"/>
    <w:rsid w:val="006C2B1D"/>
    <w:rsid w:val="006C69F8"/>
    <w:rsid w:val="006C7B6D"/>
    <w:rsid w:val="006C7ECC"/>
    <w:rsid w:val="006D2902"/>
    <w:rsid w:val="006D39E2"/>
    <w:rsid w:val="006D6738"/>
    <w:rsid w:val="006D7E0D"/>
    <w:rsid w:val="006E5DEC"/>
    <w:rsid w:val="006E6503"/>
    <w:rsid w:val="006E759B"/>
    <w:rsid w:val="006E75A9"/>
    <w:rsid w:val="006F1CD3"/>
    <w:rsid w:val="006F33E0"/>
    <w:rsid w:val="006F3866"/>
    <w:rsid w:val="006F486E"/>
    <w:rsid w:val="0070116A"/>
    <w:rsid w:val="00701C65"/>
    <w:rsid w:val="00701F53"/>
    <w:rsid w:val="007047DB"/>
    <w:rsid w:val="00704E92"/>
    <w:rsid w:val="0072291C"/>
    <w:rsid w:val="00726B1D"/>
    <w:rsid w:val="00732961"/>
    <w:rsid w:val="007355A5"/>
    <w:rsid w:val="00742C13"/>
    <w:rsid w:val="007430B2"/>
    <w:rsid w:val="00744E55"/>
    <w:rsid w:val="007471C6"/>
    <w:rsid w:val="00747B06"/>
    <w:rsid w:val="007546E2"/>
    <w:rsid w:val="00756549"/>
    <w:rsid w:val="007633BA"/>
    <w:rsid w:val="007662AD"/>
    <w:rsid w:val="0077005F"/>
    <w:rsid w:val="00771F26"/>
    <w:rsid w:val="00772BA1"/>
    <w:rsid w:val="00773796"/>
    <w:rsid w:val="00773DB0"/>
    <w:rsid w:val="00774045"/>
    <w:rsid w:val="00777F1A"/>
    <w:rsid w:val="007851F3"/>
    <w:rsid w:val="00786303"/>
    <w:rsid w:val="00791A73"/>
    <w:rsid w:val="0079432B"/>
    <w:rsid w:val="00797B91"/>
    <w:rsid w:val="007A3671"/>
    <w:rsid w:val="007A4C1B"/>
    <w:rsid w:val="007B0969"/>
    <w:rsid w:val="007B56AB"/>
    <w:rsid w:val="007B7A7C"/>
    <w:rsid w:val="007C190D"/>
    <w:rsid w:val="007C20DA"/>
    <w:rsid w:val="007C26E0"/>
    <w:rsid w:val="007C2DA6"/>
    <w:rsid w:val="007C3009"/>
    <w:rsid w:val="007C4C6C"/>
    <w:rsid w:val="007D0BE4"/>
    <w:rsid w:val="007D34E9"/>
    <w:rsid w:val="007E1187"/>
    <w:rsid w:val="007E28D2"/>
    <w:rsid w:val="007F1635"/>
    <w:rsid w:val="007F2D07"/>
    <w:rsid w:val="007F31D9"/>
    <w:rsid w:val="007F54FC"/>
    <w:rsid w:val="00801C49"/>
    <w:rsid w:val="008045B8"/>
    <w:rsid w:val="00804EA3"/>
    <w:rsid w:val="0080594D"/>
    <w:rsid w:val="00810D8E"/>
    <w:rsid w:val="00811BDC"/>
    <w:rsid w:val="008122BB"/>
    <w:rsid w:val="008149F5"/>
    <w:rsid w:val="00814DB4"/>
    <w:rsid w:val="008201EB"/>
    <w:rsid w:val="00823406"/>
    <w:rsid w:val="0082353A"/>
    <w:rsid w:val="00824111"/>
    <w:rsid w:val="00827A99"/>
    <w:rsid w:val="00834F23"/>
    <w:rsid w:val="00836168"/>
    <w:rsid w:val="00837CF8"/>
    <w:rsid w:val="00844915"/>
    <w:rsid w:val="0084780B"/>
    <w:rsid w:val="008525E2"/>
    <w:rsid w:val="00870B70"/>
    <w:rsid w:val="008710CB"/>
    <w:rsid w:val="00873B86"/>
    <w:rsid w:val="00873C72"/>
    <w:rsid w:val="00877618"/>
    <w:rsid w:val="0088065C"/>
    <w:rsid w:val="00880F3C"/>
    <w:rsid w:val="00882CAC"/>
    <w:rsid w:val="008867CF"/>
    <w:rsid w:val="00887063"/>
    <w:rsid w:val="00890A80"/>
    <w:rsid w:val="008913BF"/>
    <w:rsid w:val="008922F5"/>
    <w:rsid w:val="00897F55"/>
    <w:rsid w:val="008A38D4"/>
    <w:rsid w:val="008A4BA4"/>
    <w:rsid w:val="008B2853"/>
    <w:rsid w:val="008B3523"/>
    <w:rsid w:val="008B50AA"/>
    <w:rsid w:val="008B58FA"/>
    <w:rsid w:val="008C1781"/>
    <w:rsid w:val="008C182A"/>
    <w:rsid w:val="008C429A"/>
    <w:rsid w:val="008C4F66"/>
    <w:rsid w:val="008C76AC"/>
    <w:rsid w:val="008D0468"/>
    <w:rsid w:val="008D0E3D"/>
    <w:rsid w:val="008E0756"/>
    <w:rsid w:val="008E3D25"/>
    <w:rsid w:val="008F1649"/>
    <w:rsid w:val="008F43BE"/>
    <w:rsid w:val="008F72CE"/>
    <w:rsid w:val="009015C4"/>
    <w:rsid w:val="00901617"/>
    <w:rsid w:val="00902097"/>
    <w:rsid w:val="0090389C"/>
    <w:rsid w:val="00904D11"/>
    <w:rsid w:val="00904F4C"/>
    <w:rsid w:val="00905B63"/>
    <w:rsid w:val="00913319"/>
    <w:rsid w:val="0092057C"/>
    <w:rsid w:val="00921C64"/>
    <w:rsid w:val="00922604"/>
    <w:rsid w:val="0092381F"/>
    <w:rsid w:val="00923823"/>
    <w:rsid w:val="00923DC6"/>
    <w:rsid w:val="00926952"/>
    <w:rsid w:val="00926E59"/>
    <w:rsid w:val="009301FF"/>
    <w:rsid w:val="00933A23"/>
    <w:rsid w:val="00934B72"/>
    <w:rsid w:val="00937109"/>
    <w:rsid w:val="009374E7"/>
    <w:rsid w:val="0093757C"/>
    <w:rsid w:val="009379A7"/>
    <w:rsid w:val="00943F49"/>
    <w:rsid w:val="00950DBE"/>
    <w:rsid w:val="00955DB3"/>
    <w:rsid w:val="00964DB3"/>
    <w:rsid w:val="009650F5"/>
    <w:rsid w:val="0096712C"/>
    <w:rsid w:val="009723EB"/>
    <w:rsid w:val="0098271F"/>
    <w:rsid w:val="009865CC"/>
    <w:rsid w:val="00991999"/>
    <w:rsid w:val="00992B49"/>
    <w:rsid w:val="00995C9E"/>
    <w:rsid w:val="009976AF"/>
    <w:rsid w:val="009A53AC"/>
    <w:rsid w:val="009A5C50"/>
    <w:rsid w:val="009B4A62"/>
    <w:rsid w:val="009B584B"/>
    <w:rsid w:val="009C0706"/>
    <w:rsid w:val="009C0A5A"/>
    <w:rsid w:val="009C12AB"/>
    <w:rsid w:val="009C1F81"/>
    <w:rsid w:val="009C24E4"/>
    <w:rsid w:val="009C382E"/>
    <w:rsid w:val="009C609C"/>
    <w:rsid w:val="009D0209"/>
    <w:rsid w:val="009D2B9F"/>
    <w:rsid w:val="009D412E"/>
    <w:rsid w:val="009D7093"/>
    <w:rsid w:val="009D790F"/>
    <w:rsid w:val="009E4FC0"/>
    <w:rsid w:val="009F1669"/>
    <w:rsid w:val="009F3471"/>
    <w:rsid w:val="009F5015"/>
    <w:rsid w:val="009F51C7"/>
    <w:rsid w:val="009F5618"/>
    <w:rsid w:val="00A110B0"/>
    <w:rsid w:val="00A23185"/>
    <w:rsid w:val="00A26BFE"/>
    <w:rsid w:val="00A278A7"/>
    <w:rsid w:val="00A33312"/>
    <w:rsid w:val="00A33A2E"/>
    <w:rsid w:val="00A35D4C"/>
    <w:rsid w:val="00A40551"/>
    <w:rsid w:val="00A425E8"/>
    <w:rsid w:val="00A45166"/>
    <w:rsid w:val="00A47EDD"/>
    <w:rsid w:val="00A51259"/>
    <w:rsid w:val="00A52DD9"/>
    <w:rsid w:val="00A5665F"/>
    <w:rsid w:val="00A618A1"/>
    <w:rsid w:val="00A6216D"/>
    <w:rsid w:val="00A64B7F"/>
    <w:rsid w:val="00A6517B"/>
    <w:rsid w:val="00A651CE"/>
    <w:rsid w:val="00A71B03"/>
    <w:rsid w:val="00A72A76"/>
    <w:rsid w:val="00A75138"/>
    <w:rsid w:val="00A75631"/>
    <w:rsid w:val="00A834BC"/>
    <w:rsid w:val="00A859EA"/>
    <w:rsid w:val="00A87AF7"/>
    <w:rsid w:val="00A9004E"/>
    <w:rsid w:val="00A94DD7"/>
    <w:rsid w:val="00A977B8"/>
    <w:rsid w:val="00AA0C3F"/>
    <w:rsid w:val="00AA6538"/>
    <w:rsid w:val="00AD35F4"/>
    <w:rsid w:val="00AD4526"/>
    <w:rsid w:val="00AD56D5"/>
    <w:rsid w:val="00AE5F12"/>
    <w:rsid w:val="00AE7003"/>
    <w:rsid w:val="00AF024F"/>
    <w:rsid w:val="00AF69AF"/>
    <w:rsid w:val="00B04705"/>
    <w:rsid w:val="00B04DFE"/>
    <w:rsid w:val="00B10341"/>
    <w:rsid w:val="00B115A5"/>
    <w:rsid w:val="00B141C6"/>
    <w:rsid w:val="00B14816"/>
    <w:rsid w:val="00B21F22"/>
    <w:rsid w:val="00B22862"/>
    <w:rsid w:val="00B31B02"/>
    <w:rsid w:val="00B401D3"/>
    <w:rsid w:val="00B40521"/>
    <w:rsid w:val="00B426B6"/>
    <w:rsid w:val="00B42A18"/>
    <w:rsid w:val="00B43A02"/>
    <w:rsid w:val="00B44177"/>
    <w:rsid w:val="00B44352"/>
    <w:rsid w:val="00B448E7"/>
    <w:rsid w:val="00B44A33"/>
    <w:rsid w:val="00B47732"/>
    <w:rsid w:val="00B5130B"/>
    <w:rsid w:val="00B52C63"/>
    <w:rsid w:val="00B53DFA"/>
    <w:rsid w:val="00B546D6"/>
    <w:rsid w:val="00B554D7"/>
    <w:rsid w:val="00B56FCF"/>
    <w:rsid w:val="00B615A8"/>
    <w:rsid w:val="00B64233"/>
    <w:rsid w:val="00B64CE0"/>
    <w:rsid w:val="00B657D8"/>
    <w:rsid w:val="00B67272"/>
    <w:rsid w:val="00B724C3"/>
    <w:rsid w:val="00B73209"/>
    <w:rsid w:val="00B75466"/>
    <w:rsid w:val="00B756F7"/>
    <w:rsid w:val="00B75918"/>
    <w:rsid w:val="00B85D95"/>
    <w:rsid w:val="00B91012"/>
    <w:rsid w:val="00B975E9"/>
    <w:rsid w:val="00BA19F1"/>
    <w:rsid w:val="00BA482D"/>
    <w:rsid w:val="00BA5D23"/>
    <w:rsid w:val="00BA5F15"/>
    <w:rsid w:val="00BB0C40"/>
    <w:rsid w:val="00BB3DE2"/>
    <w:rsid w:val="00BB593E"/>
    <w:rsid w:val="00BB6111"/>
    <w:rsid w:val="00BB637F"/>
    <w:rsid w:val="00BC008B"/>
    <w:rsid w:val="00BD329B"/>
    <w:rsid w:val="00BD451A"/>
    <w:rsid w:val="00BD563D"/>
    <w:rsid w:val="00BD5B5D"/>
    <w:rsid w:val="00BE08A0"/>
    <w:rsid w:val="00BE0C73"/>
    <w:rsid w:val="00BE181D"/>
    <w:rsid w:val="00BE4085"/>
    <w:rsid w:val="00BE6191"/>
    <w:rsid w:val="00BE67F7"/>
    <w:rsid w:val="00BF2AA6"/>
    <w:rsid w:val="00BF6579"/>
    <w:rsid w:val="00BF7B4B"/>
    <w:rsid w:val="00C01F53"/>
    <w:rsid w:val="00C04756"/>
    <w:rsid w:val="00C12754"/>
    <w:rsid w:val="00C139FB"/>
    <w:rsid w:val="00C14996"/>
    <w:rsid w:val="00C1568D"/>
    <w:rsid w:val="00C23E6E"/>
    <w:rsid w:val="00C26C5A"/>
    <w:rsid w:val="00C27803"/>
    <w:rsid w:val="00C329F1"/>
    <w:rsid w:val="00C468CD"/>
    <w:rsid w:val="00C51C78"/>
    <w:rsid w:val="00C52117"/>
    <w:rsid w:val="00C57921"/>
    <w:rsid w:val="00C63A02"/>
    <w:rsid w:val="00C655E8"/>
    <w:rsid w:val="00C65699"/>
    <w:rsid w:val="00C65EB0"/>
    <w:rsid w:val="00C67040"/>
    <w:rsid w:val="00C71BD2"/>
    <w:rsid w:val="00C72E73"/>
    <w:rsid w:val="00C75377"/>
    <w:rsid w:val="00C75384"/>
    <w:rsid w:val="00C83995"/>
    <w:rsid w:val="00C83A33"/>
    <w:rsid w:val="00C83C83"/>
    <w:rsid w:val="00C845E6"/>
    <w:rsid w:val="00C86940"/>
    <w:rsid w:val="00C87CE8"/>
    <w:rsid w:val="00C9015B"/>
    <w:rsid w:val="00C92A10"/>
    <w:rsid w:val="00C9424C"/>
    <w:rsid w:val="00C96C4B"/>
    <w:rsid w:val="00C9718C"/>
    <w:rsid w:val="00CA1E85"/>
    <w:rsid w:val="00CA2E8C"/>
    <w:rsid w:val="00CA42DB"/>
    <w:rsid w:val="00CA6507"/>
    <w:rsid w:val="00CA6CCD"/>
    <w:rsid w:val="00CA7163"/>
    <w:rsid w:val="00CB35A7"/>
    <w:rsid w:val="00CB3B2B"/>
    <w:rsid w:val="00CB451C"/>
    <w:rsid w:val="00CC039F"/>
    <w:rsid w:val="00CC2013"/>
    <w:rsid w:val="00CC77C9"/>
    <w:rsid w:val="00CC7CA7"/>
    <w:rsid w:val="00CD65E9"/>
    <w:rsid w:val="00CD7C39"/>
    <w:rsid w:val="00CE0562"/>
    <w:rsid w:val="00CE0B31"/>
    <w:rsid w:val="00CE2E5C"/>
    <w:rsid w:val="00CE5107"/>
    <w:rsid w:val="00CE7BDB"/>
    <w:rsid w:val="00CF1CA6"/>
    <w:rsid w:val="00CF3629"/>
    <w:rsid w:val="00CF455D"/>
    <w:rsid w:val="00CF5A7E"/>
    <w:rsid w:val="00CF5CBF"/>
    <w:rsid w:val="00CF68B1"/>
    <w:rsid w:val="00D01FBD"/>
    <w:rsid w:val="00D03FEE"/>
    <w:rsid w:val="00D04145"/>
    <w:rsid w:val="00D04E15"/>
    <w:rsid w:val="00D146B5"/>
    <w:rsid w:val="00D209ED"/>
    <w:rsid w:val="00D213FB"/>
    <w:rsid w:val="00D2480A"/>
    <w:rsid w:val="00D26661"/>
    <w:rsid w:val="00D26F77"/>
    <w:rsid w:val="00D30CE5"/>
    <w:rsid w:val="00D33DFD"/>
    <w:rsid w:val="00D3524B"/>
    <w:rsid w:val="00D4091C"/>
    <w:rsid w:val="00D409A3"/>
    <w:rsid w:val="00D41022"/>
    <w:rsid w:val="00D434DD"/>
    <w:rsid w:val="00D45945"/>
    <w:rsid w:val="00D51F5F"/>
    <w:rsid w:val="00D55F72"/>
    <w:rsid w:val="00D565E4"/>
    <w:rsid w:val="00D566A7"/>
    <w:rsid w:val="00D566E2"/>
    <w:rsid w:val="00D577EF"/>
    <w:rsid w:val="00D643AA"/>
    <w:rsid w:val="00D645BE"/>
    <w:rsid w:val="00D65A1C"/>
    <w:rsid w:val="00D72CC8"/>
    <w:rsid w:val="00D7663F"/>
    <w:rsid w:val="00D77078"/>
    <w:rsid w:val="00D81149"/>
    <w:rsid w:val="00D863CE"/>
    <w:rsid w:val="00D868FD"/>
    <w:rsid w:val="00D91A15"/>
    <w:rsid w:val="00D920DB"/>
    <w:rsid w:val="00DA6B97"/>
    <w:rsid w:val="00DB00A4"/>
    <w:rsid w:val="00DB135F"/>
    <w:rsid w:val="00DB3130"/>
    <w:rsid w:val="00DB7ED6"/>
    <w:rsid w:val="00DC2406"/>
    <w:rsid w:val="00DC2C4A"/>
    <w:rsid w:val="00DC4FC6"/>
    <w:rsid w:val="00DD1E28"/>
    <w:rsid w:val="00DD31CA"/>
    <w:rsid w:val="00DD3A05"/>
    <w:rsid w:val="00DD5F3A"/>
    <w:rsid w:val="00DD73E3"/>
    <w:rsid w:val="00DE1501"/>
    <w:rsid w:val="00DE4592"/>
    <w:rsid w:val="00DE591A"/>
    <w:rsid w:val="00DF40B3"/>
    <w:rsid w:val="00DF4588"/>
    <w:rsid w:val="00DF5AB8"/>
    <w:rsid w:val="00E01407"/>
    <w:rsid w:val="00E03F59"/>
    <w:rsid w:val="00E10A26"/>
    <w:rsid w:val="00E11BEB"/>
    <w:rsid w:val="00E161F3"/>
    <w:rsid w:val="00E168C2"/>
    <w:rsid w:val="00E17290"/>
    <w:rsid w:val="00E17FDA"/>
    <w:rsid w:val="00E21650"/>
    <w:rsid w:val="00E24C1A"/>
    <w:rsid w:val="00E30596"/>
    <w:rsid w:val="00E31832"/>
    <w:rsid w:val="00E37F90"/>
    <w:rsid w:val="00E47CC5"/>
    <w:rsid w:val="00E52CA2"/>
    <w:rsid w:val="00E54CAF"/>
    <w:rsid w:val="00E550C0"/>
    <w:rsid w:val="00E57127"/>
    <w:rsid w:val="00E572A7"/>
    <w:rsid w:val="00E62190"/>
    <w:rsid w:val="00E6271D"/>
    <w:rsid w:val="00E62834"/>
    <w:rsid w:val="00E64251"/>
    <w:rsid w:val="00E643E0"/>
    <w:rsid w:val="00E645D7"/>
    <w:rsid w:val="00E65C86"/>
    <w:rsid w:val="00E73B2D"/>
    <w:rsid w:val="00E74BE8"/>
    <w:rsid w:val="00E75D33"/>
    <w:rsid w:val="00E76E3F"/>
    <w:rsid w:val="00E82039"/>
    <w:rsid w:val="00E83DE6"/>
    <w:rsid w:val="00E9025D"/>
    <w:rsid w:val="00E90715"/>
    <w:rsid w:val="00E96529"/>
    <w:rsid w:val="00E97D77"/>
    <w:rsid w:val="00EA562F"/>
    <w:rsid w:val="00EB3013"/>
    <w:rsid w:val="00EB3E74"/>
    <w:rsid w:val="00EB4BE9"/>
    <w:rsid w:val="00EB4E67"/>
    <w:rsid w:val="00EC0D5F"/>
    <w:rsid w:val="00EC303A"/>
    <w:rsid w:val="00EC5EC3"/>
    <w:rsid w:val="00EC6E51"/>
    <w:rsid w:val="00EC7841"/>
    <w:rsid w:val="00ED15E8"/>
    <w:rsid w:val="00ED2B05"/>
    <w:rsid w:val="00ED2FA7"/>
    <w:rsid w:val="00ED4864"/>
    <w:rsid w:val="00ED6FA6"/>
    <w:rsid w:val="00EE21AE"/>
    <w:rsid w:val="00EE5BA8"/>
    <w:rsid w:val="00EE6ADE"/>
    <w:rsid w:val="00EF3D47"/>
    <w:rsid w:val="00EF78A2"/>
    <w:rsid w:val="00F005F6"/>
    <w:rsid w:val="00F00671"/>
    <w:rsid w:val="00F03F94"/>
    <w:rsid w:val="00F1210C"/>
    <w:rsid w:val="00F14B6B"/>
    <w:rsid w:val="00F250E1"/>
    <w:rsid w:val="00F27903"/>
    <w:rsid w:val="00F32676"/>
    <w:rsid w:val="00F3577D"/>
    <w:rsid w:val="00F36011"/>
    <w:rsid w:val="00F36165"/>
    <w:rsid w:val="00F40038"/>
    <w:rsid w:val="00F40287"/>
    <w:rsid w:val="00F403D1"/>
    <w:rsid w:val="00F412AA"/>
    <w:rsid w:val="00F478DA"/>
    <w:rsid w:val="00F50332"/>
    <w:rsid w:val="00F5381A"/>
    <w:rsid w:val="00F54F42"/>
    <w:rsid w:val="00F57B8B"/>
    <w:rsid w:val="00F61401"/>
    <w:rsid w:val="00F676DA"/>
    <w:rsid w:val="00F7047D"/>
    <w:rsid w:val="00F7122D"/>
    <w:rsid w:val="00F731D7"/>
    <w:rsid w:val="00F73303"/>
    <w:rsid w:val="00F744F7"/>
    <w:rsid w:val="00F77CF6"/>
    <w:rsid w:val="00F80DBF"/>
    <w:rsid w:val="00F81CD7"/>
    <w:rsid w:val="00F82138"/>
    <w:rsid w:val="00F8346C"/>
    <w:rsid w:val="00F8585A"/>
    <w:rsid w:val="00F86C81"/>
    <w:rsid w:val="00F92C48"/>
    <w:rsid w:val="00F93FA3"/>
    <w:rsid w:val="00F95769"/>
    <w:rsid w:val="00FA10E6"/>
    <w:rsid w:val="00FA1AA9"/>
    <w:rsid w:val="00FA1C51"/>
    <w:rsid w:val="00FA6971"/>
    <w:rsid w:val="00FA729A"/>
    <w:rsid w:val="00FB1FE4"/>
    <w:rsid w:val="00FB23AF"/>
    <w:rsid w:val="00FB2550"/>
    <w:rsid w:val="00FB2C24"/>
    <w:rsid w:val="00FB366E"/>
    <w:rsid w:val="00FB4C27"/>
    <w:rsid w:val="00FB7527"/>
    <w:rsid w:val="00FC22D1"/>
    <w:rsid w:val="00FC3884"/>
    <w:rsid w:val="00FC6CE9"/>
    <w:rsid w:val="00FC6D11"/>
    <w:rsid w:val="00FC7B13"/>
    <w:rsid w:val="00FD29D2"/>
    <w:rsid w:val="00FD3F18"/>
    <w:rsid w:val="00FD4532"/>
    <w:rsid w:val="00FD4DE9"/>
    <w:rsid w:val="00FD5EEE"/>
    <w:rsid w:val="00FD6266"/>
    <w:rsid w:val="00FD765B"/>
    <w:rsid w:val="00FE0552"/>
    <w:rsid w:val="00FE3177"/>
    <w:rsid w:val="00FE3DC6"/>
    <w:rsid w:val="00FE3EB9"/>
    <w:rsid w:val="00FE58EE"/>
    <w:rsid w:val="00FE6BF1"/>
    <w:rsid w:val="00FE737C"/>
    <w:rsid w:val="00FF065C"/>
    <w:rsid w:val="00FF3C19"/>
    <w:rsid w:val="00FF3E6A"/>
    <w:rsid w:val="00FF4DAF"/>
    <w:rsid w:val="00FF5119"/>
    <w:rsid w:val="00FF73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BB7A9"/>
  <w15:docId w15:val="{9898FE2A-B1DD-4577-877B-9E5C76AB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49"/>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1C760C"/>
    <w:pPr>
      <w:keepNext/>
      <w:jc w:val="center"/>
      <w:outlineLvl w:val="0"/>
    </w:pPr>
    <w:rPr>
      <w:rFonts w:ascii="Verdana" w:hAnsi="Verdana"/>
      <w:b/>
      <w:bCs/>
      <w:szCs w:val="20"/>
      <w:lang w:eastAsia="es-ES"/>
    </w:rPr>
  </w:style>
  <w:style w:type="paragraph" w:styleId="Ttulo5">
    <w:name w:val="heading 5"/>
    <w:basedOn w:val="Normal"/>
    <w:next w:val="Normal"/>
    <w:link w:val="Ttulo5Car"/>
    <w:qFormat/>
    <w:rsid w:val="001C760C"/>
    <w:pPr>
      <w:spacing w:before="240" w:after="60"/>
      <w:outlineLvl w:val="4"/>
    </w:pPr>
    <w:rPr>
      <w:b/>
      <w:bCs/>
      <w:i/>
      <w:iCs/>
      <w:sz w:val="26"/>
      <w:szCs w:val="26"/>
      <w:lang w:val="es-ES" w:eastAsia="es-ES"/>
    </w:rPr>
  </w:style>
  <w:style w:type="paragraph" w:styleId="Ttulo7">
    <w:name w:val="heading 7"/>
    <w:basedOn w:val="Normal"/>
    <w:next w:val="Normal"/>
    <w:link w:val="Ttulo7Car"/>
    <w:qFormat/>
    <w:rsid w:val="001C760C"/>
    <w:pPr>
      <w:spacing w:before="240" w:after="60"/>
      <w:outlineLvl w:val="6"/>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65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1609"/>
    <w:pPr>
      <w:tabs>
        <w:tab w:val="center" w:pos="4419"/>
        <w:tab w:val="right" w:pos="8838"/>
      </w:tabs>
    </w:pPr>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541609"/>
  </w:style>
  <w:style w:type="paragraph" w:styleId="Piedepgina">
    <w:name w:val="footer"/>
    <w:basedOn w:val="Normal"/>
    <w:link w:val="PiedepginaCar"/>
    <w:uiPriority w:val="99"/>
    <w:unhideWhenUsed/>
    <w:rsid w:val="00541609"/>
    <w:pPr>
      <w:tabs>
        <w:tab w:val="center" w:pos="4419"/>
        <w:tab w:val="right" w:pos="8838"/>
      </w:tabs>
    </w:pPr>
    <w:rPr>
      <w:rFonts w:asciiTheme="minorHAnsi" w:eastAsiaTheme="minorEastAsia" w:hAnsiTheme="minorHAnsi" w:cstheme="minorBidi"/>
      <w:sz w:val="22"/>
      <w:szCs w:val="22"/>
    </w:rPr>
  </w:style>
  <w:style w:type="character" w:customStyle="1" w:styleId="PiedepginaCar">
    <w:name w:val="Pie de página Car"/>
    <w:basedOn w:val="Fuentedeprrafopredeter"/>
    <w:link w:val="Piedepgina"/>
    <w:uiPriority w:val="99"/>
    <w:rsid w:val="00541609"/>
  </w:style>
  <w:style w:type="paragraph" w:styleId="Textodeglobo">
    <w:name w:val="Balloon Text"/>
    <w:basedOn w:val="Normal"/>
    <w:link w:val="TextodegloboCar"/>
    <w:uiPriority w:val="99"/>
    <w:semiHidden/>
    <w:unhideWhenUsed/>
    <w:rsid w:val="00541609"/>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609"/>
    <w:rPr>
      <w:rFonts w:ascii="Tahoma" w:hAnsi="Tahoma" w:cs="Tahoma"/>
      <w:sz w:val="16"/>
      <w:szCs w:val="16"/>
    </w:rPr>
  </w:style>
  <w:style w:type="paragraph" w:styleId="Prrafodelista">
    <w:name w:val="List Paragraph"/>
    <w:basedOn w:val="Normal"/>
    <w:uiPriority w:val="34"/>
    <w:qFormat/>
    <w:rsid w:val="00641930"/>
    <w:pPr>
      <w:spacing w:after="200" w:line="276" w:lineRule="auto"/>
      <w:ind w:left="720"/>
      <w:contextualSpacing/>
    </w:pPr>
    <w:rPr>
      <w:rFonts w:asciiTheme="minorHAnsi" w:eastAsiaTheme="minorEastAsia" w:hAnsiTheme="minorHAnsi" w:cstheme="minorBidi"/>
      <w:sz w:val="22"/>
      <w:szCs w:val="22"/>
    </w:rPr>
  </w:style>
  <w:style w:type="character" w:customStyle="1" w:styleId="Ttulo1Car">
    <w:name w:val="Título 1 Car"/>
    <w:basedOn w:val="Fuentedeprrafopredeter"/>
    <w:link w:val="Ttulo1"/>
    <w:rsid w:val="001C760C"/>
    <w:rPr>
      <w:rFonts w:ascii="Verdana" w:eastAsia="Times New Roman" w:hAnsi="Verdana" w:cs="Times New Roman"/>
      <w:b/>
      <w:bCs/>
      <w:sz w:val="24"/>
      <w:szCs w:val="20"/>
      <w:lang w:eastAsia="es-ES"/>
    </w:rPr>
  </w:style>
  <w:style w:type="character" w:customStyle="1" w:styleId="Ttulo5Car">
    <w:name w:val="Título 5 Car"/>
    <w:basedOn w:val="Fuentedeprrafopredeter"/>
    <w:link w:val="Ttulo5"/>
    <w:rsid w:val="001C760C"/>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rsid w:val="001C760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C760C"/>
  </w:style>
  <w:style w:type="table" w:styleId="Listamedia1-nfasis1">
    <w:name w:val="Medium List 1 Accent 1"/>
    <w:basedOn w:val="Tablanormal"/>
    <w:uiPriority w:val="65"/>
    <w:rsid w:val="001C760C"/>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Cuadrculamedia3-nfasis1">
    <w:name w:val="Medium Grid 3 Accent 1"/>
    <w:basedOn w:val="Tablanormal"/>
    <w:uiPriority w:val="69"/>
    <w:rsid w:val="001C760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uiPriority w:val="73"/>
    <w:rsid w:val="001C760C"/>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media2-nfasis5">
    <w:name w:val="Medium Grid 2 Accent 5"/>
    <w:basedOn w:val="Tablanormal"/>
    <w:uiPriority w:val="68"/>
    <w:rsid w:val="001C760C"/>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Sombreadomedio2-nfasis5">
    <w:name w:val="Medium Shading 2 Accent 5"/>
    <w:basedOn w:val="Tablanormal"/>
    <w:uiPriority w:val="64"/>
    <w:rsid w:val="001C760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1C760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ombreadoclaro-nfasis5">
    <w:name w:val="Light Shading Accent 5"/>
    <w:basedOn w:val="Tablanormal"/>
    <w:uiPriority w:val="60"/>
    <w:rsid w:val="001C760C"/>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1">
    <w:name w:val="Medium Shading 1 Accent 1"/>
    <w:basedOn w:val="Tablanormal"/>
    <w:uiPriority w:val="63"/>
    <w:rsid w:val="001C760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odycopy">
    <w:name w:val="Body copy"/>
    <w:basedOn w:val="Normal"/>
    <w:next w:val="Normal"/>
    <w:uiPriority w:val="99"/>
    <w:rsid w:val="001C760C"/>
    <w:pPr>
      <w:autoSpaceDE w:val="0"/>
      <w:autoSpaceDN w:val="0"/>
      <w:adjustRightInd w:val="0"/>
    </w:pPr>
    <w:rPr>
      <w:rFonts w:ascii="Arial" w:hAnsi="Arial" w:cs="Arial"/>
      <w:lang w:val="es-ES" w:eastAsia="es-ES"/>
    </w:rPr>
  </w:style>
  <w:style w:type="paragraph" w:customStyle="1" w:styleId="Default">
    <w:name w:val="Default"/>
    <w:rsid w:val="001C760C"/>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Cuadrculadetablaclara">
    <w:name w:val="Grid Table Light"/>
    <w:basedOn w:val="Tablanormal"/>
    <w:uiPriority w:val="40"/>
    <w:rsid w:val="004F57E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BE67F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next w:val="Cuadrculadetablaclara"/>
    <w:uiPriority w:val="40"/>
    <w:rsid w:val="00BE67F7"/>
    <w:pPr>
      <w:spacing w:after="0" w:line="240"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76E31"/>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376E31"/>
    <w:rPr>
      <w:sz w:val="20"/>
      <w:szCs w:val="20"/>
    </w:rPr>
  </w:style>
  <w:style w:type="character" w:styleId="Refdenotaalpie">
    <w:name w:val="footnote reference"/>
    <w:basedOn w:val="Fuentedeprrafopredeter"/>
    <w:uiPriority w:val="99"/>
    <w:semiHidden/>
    <w:unhideWhenUsed/>
    <w:rsid w:val="00376E31"/>
    <w:rPr>
      <w:vertAlign w:val="superscript"/>
    </w:rPr>
  </w:style>
  <w:style w:type="paragraph" w:styleId="NormalWeb">
    <w:name w:val="Normal (Web)"/>
    <w:basedOn w:val="Normal"/>
    <w:uiPriority w:val="99"/>
    <w:semiHidden/>
    <w:unhideWhenUsed/>
    <w:rsid w:val="00343FA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338">
      <w:bodyDiv w:val="1"/>
      <w:marLeft w:val="0"/>
      <w:marRight w:val="0"/>
      <w:marTop w:val="0"/>
      <w:marBottom w:val="0"/>
      <w:divBdr>
        <w:top w:val="none" w:sz="0" w:space="0" w:color="auto"/>
        <w:left w:val="none" w:sz="0" w:space="0" w:color="auto"/>
        <w:bottom w:val="none" w:sz="0" w:space="0" w:color="auto"/>
        <w:right w:val="none" w:sz="0" w:space="0" w:color="auto"/>
      </w:divBdr>
    </w:div>
    <w:div w:id="25180051">
      <w:bodyDiv w:val="1"/>
      <w:marLeft w:val="0"/>
      <w:marRight w:val="0"/>
      <w:marTop w:val="0"/>
      <w:marBottom w:val="0"/>
      <w:divBdr>
        <w:top w:val="none" w:sz="0" w:space="0" w:color="auto"/>
        <w:left w:val="none" w:sz="0" w:space="0" w:color="auto"/>
        <w:bottom w:val="none" w:sz="0" w:space="0" w:color="auto"/>
        <w:right w:val="none" w:sz="0" w:space="0" w:color="auto"/>
      </w:divBdr>
    </w:div>
    <w:div w:id="85002341">
      <w:bodyDiv w:val="1"/>
      <w:marLeft w:val="0"/>
      <w:marRight w:val="0"/>
      <w:marTop w:val="0"/>
      <w:marBottom w:val="0"/>
      <w:divBdr>
        <w:top w:val="none" w:sz="0" w:space="0" w:color="auto"/>
        <w:left w:val="none" w:sz="0" w:space="0" w:color="auto"/>
        <w:bottom w:val="none" w:sz="0" w:space="0" w:color="auto"/>
        <w:right w:val="none" w:sz="0" w:space="0" w:color="auto"/>
      </w:divBdr>
    </w:div>
    <w:div w:id="89856842">
      <w:bodyDiv w:val="1"/>
      <w:marLeft w:val="0"/>
      <w:marRight w:val="0"/>
      <w:marTop w:val="0"/>
      <w:marBottom w:val="0"/>
      <w:divBdr>
        <w:top w:val="none" w:sz="0" w:space="0" w:color="auto"/>
        <w:left w:val="none" w:sz="0" w:space="0" w:color="auto"/>
        <w:bottom w:val="none" w:sz="0" w:space="0" w:color="auto"/>
        <w:right w:val="none" w:sz="0" w:space="0" w:color="auto"/>
      </w:divBdr>
    </w:div>
    <w:div w:id="160199056">
      <w:bodyDiv w:val="1"/>
      <w:marLeft w:val="0"/>
      <w:marRight w:val="0"/>
      <w:marTop w:val="0"/>
      <w:marBottom w:val="0"/>
      <w:divBdr>
        <w:top w:val="none" w:sz="0" w:space="0" w:color="auto"/>
        <w:left w:val="none" w:sz="0" w:space="0" w:color="auto"/>
        <w:bottom w:val="none" w:sz="0" w:space="0" w:color="auto"/>
        <w:right w:val="none" w:sz="0" w:space="0" w:color="auto"/>
      </w:divBdr>
    </w:div>
    <w:div w:id="172191150">
      <w:bodyDiv w:val="1"/>
      <w:marLeft w:val="0"/>
      <w:marRight w:val="0"/>
      <w:marTop w:val="0"/>
      <w:marBottom w:val="0"/>
      <w:divBdr>
        <w:top w:val="none" w:sz="0" w:space="0" w:color="auto"/>
        <w:left w:val="none" w:sz="0" w:space="0" w:color="auto"/>
        <w:bottom w:val="none" w:sz="0" w:space="0" w:color="auto"/>
        <w:right w:val="none" w:sz="0" w:space="0" w:color="auto"/>
      </w:divBdr>
    </w:div>
    <w:div w:id="204293479">
      <w:bodyDiv w:val="1"/>
      <w:marLeft w:val="0"/>
      <w:marRight w:val="0"/>
      <w:marTop w:val="0"/>
      <w:marBottom w:val="0"/>
      <w:divBdr>
        <w:top w:val="none" w:sz="0" w:space="0" w:color="auto"/>
        <w:left w:val="none" w:sz="0" w:space="0" w:color="auto"/>
        <w:bottom w:val="none" w:sz="0" w:space="0" w:color="auto"/>
        <w:right w:val="none" w:sz="0" w:space="0" w:color="auto"/>
      </w:divBdr>
    </w:div>
    <w:div w:id="209346898">
      <w:bodyDiv w:val="1"/>
      <w:marLeft w:val="0"/>
      <w:marRight w:val="0"/>
      <w:marTop w:val="0"/>
      <w:marBottom w:val="0"/>
      <w:divBdr>
        <w:top w:val="none" w:sz="0" w:space="0" w:color="auto"/>
        <w:left w:val="none" w:sz="0" w:space="0" w:color="auto"/>
        <w:bottom w:val="none" w:sz="0" w:space="0" w:color="auto"/>
        <w:right w:val="none" w:sz="0" w:space="0" w:color="auto"/>
      </w:divBdr>
    </w:div>
    <w:div w:id="253443244">
      <w:bodyDiv w:val="1"/>
      <w:marLeft w:val="0"/>
      <w:marRight w:val="0"/>
      <w:marTop w:val="0"/>
      <w:marBottom w:val="0"/>
      <w:divBdr>
        <w:top w:val="none" w:sz="0" w:space="0" w:color="auto"/>
        <w:left w:val="none" w:sz="0" w:space="0" w:color="auto"/>
        <w:bottom w:val="none" w:sz="0" w:space="0" w:color="auto"/>
        <w:right w:val="none" w:sz="0" w:space="0" w:color="auto"/>
      </w:divBdr>
    </w:div>
    <w:div w:id="266933961">
      <w:bodyDiv w:val="1"/>
      <w:marLeft w:val="0"/>
      <w:marRight w:val="0"/>
      <w:marTop w:val="0"/>
      <w:marBottom w:val="0"/>
      <w:divBdr>
        <w:top w:val="none" w:sz="0" w:space="0" w:color="auto"/>
        <w:left w:val="none" w:sz="0" w:space="0" w:color="auto"/>
        <w:bottom w:val="none" w:sz="0" w:space="0" w:color="auto"/>
        <w:right w:val="none" w:sz="0" w:space="0" w:color="auto"/>
      </w:divBdr>
    </w:div>
    <w:div w:id="308289166">
      <w:bodyDiv w:val="1"/>
      <w:marLeft w:val="0"/>
      <w:marRight w:val="0"/>
      <w:marTop w:val="0"/>
      <w:marBottom w:val="0"/>
      <w:divBdr>
        <w:top w:val="none" w:sz="0" w:space="0" w:color="auto"/>
        <w:left w:val="none" w:sz="0" w:space="0" w:color="auto"/>
        <w:bottom w:val="none" w:sz="0" w:space="0" w:color="auto"/>
        <w:right w:val="none" w:sz="0" w:space="0" w:color="auto"/>
      </w:divBdr>
    </w:div>
    <w:div w:id="335427933">
      <w:bodyDiv w:val="1"/>
      <w:marLeft w:val="0"/>
      <w:marRight w:val="0"/>
      <w:marTop w:val="0"/>
      <w:marBottom w:val="0"/>
      <w:divBdr>
        <w:top w:val="none" w:sz="0" w:space="0" w:color="auto"/>
        <w:left w:val="none" w:sz="0" w:space="0" w:color="auto"/>
        <w:bottom w:val="none" w:sz="0" w:space="0" w:color="auto"/>
        <w:right w:val="none" w:sz="0" w:space="0" w:color="auto"/>
      </w:divBdr>
    </w:div>
    <w:div w:id="417793156">
      <w:bodyDiv w:val="1"/>
      <w:marLeft w:val="0"/>
      <w:marRight w:val="0"/>
      <w:marTop w:val="0"/>
      <w:marBottom w:val="0"/>
      <w:divBdr>
        <w:top w:val="none" w:sz="0" w:space="0" w:color="auto"/>
        <w:left w:val="none" w:sz="0" w:space="0" w:color="auto"/>
        <w:bottom w:val="none" w:sz="0" w:space="0" w:color="auto"/>
        <w:right w:val="none" w:sz="0" w:space="0" w:color="auto"/>
      </w:divBdr>
    </w:div>
    <w:div w:id="568612429">
      <w:bodyDiv w:val="1"/>
      <w:marLeft w:val="0"/>
      <w:marRight w:val="0"/>
      <w:marTop w:val="0"/>
      <w:marBottom w:val="0"/>
      <w:divBdr>
        <w:top w:val="none" w:sz="0" w:space="0" w:color="auto"/>
        <w:left w:val="none" w:sz="0" w:space="0" w:color="auto"/>
        <w:bottom w:val="none" w:sz="0" w:space="0" w:color="auto"/>
        <w:right w:val="none" w:sz="0" w:space="0" w:color="auto"/>
      </w:divBdr>
    </w:div>
    <w:div w:id="571082500">
      <w:bodyDiv w:val="1"/>
      <w:marLeft w:val="0"/>
      <w:marRight w:val="0"/>
      <w:marTop w:val="0"/>
      <w:marBottom w:val="0"/>
      <w:divBdr>
        <w:top w:val="none" w:sz="0" w:space="0" w:color="auto"/>
        <w:left w:val="none" w:sz="0" w:space="0" w:color="auto"/>
        <w:bottom w:val="none" w:sz="0" w:space="0" w:color="auto"/>
        <w:right w:val="none" w:sz="0" w:space="0" w:color="auto"/>
      </w:divBdr>
    </w:div>
    <w:div w:id="581069559">
      <w:bodyDiv w:val="1"/>
      <w:marLeft w:val="0"/>
      <w:marRight w:val="0"/>
      <w:marTop w:val="0"/>
      <w:marBottom w:val="0"/>
      <w:divBdr>
        <w:top w:val="none" w:sz="0" w:space="0" w:color="auto"/>
        <w:left w:val="none" w:sz="0" w:space="0" w:color="auto"/>
        <w:bottom w:val="none" w:sz="0" w:space="0" w:color="auto"/>
        <w:right w:val="none" w:sz="0" w:space="0" w:color="auto"/>
      </w:divBdr>
    </w:div>
    <w:div w:id="595671478">
      <w:bodyDiv w:val="1"/>
      <w:marLeft w:val="0"/>
      <w:marRight w:val="0"/>
      <w:marTop w:val="0"/>
      <w:marBottom w:val="0"/>
      <w:divBdr>
        <w:top w:val="none" w:sz="0" w:space="0" w:color="auto"/>
        <w:left w:val="none" w:sz="0" w:space="0" w:color="auto"/>
        <w:bottom w:val="none" w:sz="0" w:space="0" w:color="auto"/>
        <w:right w:val="none" w:sz="0" w:space="0" w:color="auto"/>
      </w:divBdr>
    </w:div>
    <w:div w:id="662205365">
      <w:bodyDiv w:val="1"/>
      <w:marLeft w:val="0"/>
      <w:marRight w:val="0"/>
      <w:marTop w:val="0"/>
      <w:marBottom w:val="0"/>
      <w:divBdr>
        <w:top w:val="none" w:sz="0" w:space="0" w:color="auto"/>
        <w:left w:val="none" w:sz="0" w:space="0" w:color="auto"/>
        <w:bottom w:val="none" w:sz="0" w:space="0" w:color="auto"/>
        <w:right w:val="none" w:sz="0" w:space="0" w:color="auto"/>
      </w:divBdr>
    </w:div>
    <w:div w:id="701831669">
      <w:bodyDiv w:val="1"/>
      <w:marLeft w:val="0"/>
      <w:marRight w:val="0"/>
      <w:marTop w:val="0"/>
      <w:marBottom w:val="0"/>
      <w:divBdr>
        <w:top w:val="none" w:sz="0" w:space="0" w:color="auto"/>
        <w:left w:val="none" w:sz="0" w:space="0" w:color="auto"/>
        <w:bottom w:val="none" w:sz="0" w:space="0" w:color="auto"/>
        <w:right w:val="none" w:sz="0" w:space="0" w:color="auto"/>
      </w:divBdr>
    </w:div>
    <w:div w:id="726994634">
      <w:bodyDiv w:val="1"/>
      <w:marLeft w:val="0"/>
      <w:marRight w:val="0"/>
      <w:marTop w:val="0"/>
      <w:marBottom w:val="0"/>
      <w:divBdr>
        <w:top w:val="none" w:sz="0" w:space="0" w:color="auto"/>
        <w:left w:val="none" w:sz="0" w:space="0" w:color="auto"/>
        <w:bottom w:val="none" w:sz="0" w:space="0" w:color="auto"/>
        <w:right w:val="none" w:sz="0" w:space="0" w:color="auto"/>
      </w:divBdr>
    </w:div>
    <w:div w:id="751119671">
      <w:bodyDiv w:val="1"/>
      <w:marLeft w:val="0"/>
      <w:marRight w:val="0"/>
      <w:marTop w:val="0"/>
      <w:marBottom w:val="0"/>
      <w:divBdr>
        <w:top w:val="none" w:sz="0" w:space="0" w:color="auto"/>
        <w:left w:val="none" w:sz="0" w:space="0" w:color="auto"/>
        <w:bottom w:val="none" w:sz="0" w:space="0" w:color="auto"/>
        <w:right w:val="none" w:sz="0" w:space="0" w:color="auto"/>
      </w:divBdr>
    </w:div>
    <w:div w:id="784079397">
      <w:bodyDiv w:val="1"/>
      <w:marLeft w:val="0"/>
      <w:marRight w:val="0"/>
      <w:marTop w:val="0"/>
      <w:marBottom w:val="0"/>
      <w:divBdr>
        <w:top w:val="none" w:sz="0" w:space="0" w:color="auto"/>
        <w:left w:val="none" w:sz="0" w:space="0" w:color="auto"/>
        <w:bottom w:val="none" w:sz="0" w:space="0" w:color="auto"/>
        <w:right w:val="none" w:sz="0" w:space="0" w:color="auto"/>
      </w:divBdr>
    </w:div>
    <w:div w:id="869800096">
      <w:bodyDiv w:val="1"/>
      <w:marLeft w:val="0"/>
      <w:marRight w:val="0"/>
      <w:marTop w:val="0"/>
      <w:marBottom w:val="0"/>
      <w:divBdr>
        <w:top w:val="none" w:sz="0" w:space="0" w:color="auto"/>
        <w:left w:val="none" w:sz="0" w:space="0" w:color="auto"/>
        <w:bottom w:val="none" w:sz="0" w:space="0" w:color="auto"/>
        <w:right w:val="none" w:sz="0" w:space="0" w:color="auto"/>
      </w:divBdr>
    </w:div>
    <w:div w:id="869875942">
      <w:bodyDiv w:val="1"/>
      <w:marLeft w:val="0"/>
      <w:marRight w:val="0"/>
      <w:marTop w:val="0"/>
      <w:marBottom w:val="0"/>
      <w:divBdr>
        <w:top w:val="none" w:sz="0" w:space="0" w:color="auto"/>
        <w:left w:val="none" w:sz="0" w:space="0" w:color="auto"/>
        <w:bottom w:val="none" w:sz="0" w:space="0" w:color="auto"/>
        <w:right w:val="none" w:sz="0" w:space="0" w:color="auto"/>
      </w:divBdr>
    </w:div>
    <w:div w:id="959729466">
      <w:bodyDiv w:val="1"/>
      <w:marLeft w:val="0"/>
      <w:marRight w:val="0"/>
      <w:marTop w:val="0"/>
      <w:marBottom w:val="0"/>
      <w:divBdr>
        <w:top w:val="none" w:sz="0" w:space="0" w:color="auto"/>
        <w:left w:val="none" w:sz="0" w:space="0" w:color="auto"/>
        <w:bottom w:val="none" w:sz="0" w:space="0" w:color="auto"/>
        <w:right w:val="none" w:sz="0" w:space="0" w:color="auto"/>
      </w:divBdr>
    </w:div>
    <w:div w:id="992487083">
      <w:bodyDiv w:val="1"/>
      <w:marLeft w:val="0"/>
      <w:marRight w:val="0"/>
      <w:marTop w:val="0"/>
      <w:marBottom w:val="0"/>
      <w:divBdr>
        <w:top w:val="none" w:sz="0" w:space="0" w:color="auto"/>
        <w:left w:val="none" w:sz="0" w:space="0" w:color="auto"/>
        <w:bottom w:val="none" w:sz="0" w:space="0" w:color="auto"/>
        <w:right w:val="none" w:sz="0" w:space="0" w:color="auto"/>
      </w:divBdr>
    </w:div>
    <w:div w:id="1042290654">
      <w:bodyDiv w:val="1"/>
      <w:marLeft w:val="0"/>
      <w:marRight w:val="0"/>
      <w:marTop w:val="0"/>
      <w:marBottom w:val="0"/>
      <w:divBdr>
        <w:top w:val="none" w:sz="0" w:space="0" w:color="auto"/>
        <w:left w:val="none" w:sz="0" w:space="0" w:color="auto"/>
        <w:bottom w:val="none" w:sz="0" w:space="0" w:color="auto"/>
        <w:right w:val="none" w:sz="0" w:space="0" w:color="auto"/>
      </w:divBdr>
    </w:div>
    <w:div w:id="1061099052">
      <w:bodyDiv w:val="1"/>
      <w:marLeft w:val="0"/>
      <w:marRight w:val="0"/>
      <w:marTop w:val="0"/>
      <w:marBottom w:val="0"/>
      <w:divBdr>
        <w:top w:val="none" w:sz="0" w:space="0" w:color="auto"/>
        <w:left w:val="none" w:sz="0" w:space="0" w:color="auto"/>
        <w:bottom w:val="none" w:sz="0" w:space="0" w:color="auto"/>
        <w:right w:val="none" w:sz="0" w:space="0" w:color="auto"/>
      </w:divBdr>
    </w:div>
    <w:div w:id="1123763948">
      <w:bodyDiv w:val="1"/>
      <w:marLeft w:val="0"/>
      <w:marRight w:val="0"/>
      <w:marTop w:val="0"/>
      <w:marBottom w:val="0"/>
      <w:divBdr>
        <w:top w:val="none" w:sz="0" w:space="0" w:color="auto"/>
        <w:left w:val="none" w:sz="0" w:space="0" w:color="auto"/>
        <w:bottom w:val="none" w:sz="0" w:space="0" w:color="auto"/>
        <w:right w:val="none" w:sz="0" w:space="0" w:color="auto"/>
      </w:divBdr>
    </w:div>
    <w:div w:id="1143424740">
      <w:bodyDiv w:val="1"/>
      <w:marLeft w:val="0"/>
      <w:marRight w:val="0"/>
      <w:marTop w:val="0"/>
      <w:marBottom w:val="0"/>
      <w:divBdr>
        <w:top w:val="none" w:sz="0" w:space="0" w:color="auto"/>
        <w:left w:val="none" w:sz="0" w:space="0" w:color="auto"/>
        <w:bottom w:val="none" w:sz="0" w:space="0" w:color="auto"/>
        <w:right w:val="none" w:sz="0" w:space="0" w:color="auto"/>
      </w:divBdr>
    </w:div>
    <w:div w:id="1172141106">
      <w:bodyDiv w:val="1"/>
      <w:marLeft w:val="0"/>
      <w:marRight w:val="0"/>
      <w:marTop w:val="0"/>
      <w:marBottom w:val="0"/>
      <w:divBdr>
        <w:top w:val="none" w:sz="0" w:space="0" w:color="auto"/>
        <w:left w:val="none" w:sz="0" w:space="0" w:color="auto"/>
        <w:bottom w:val="none" w:sz="0" w:space="0" w:color="auto"/>
        <w:right w:val="none" w:sz="0" w:space="0" w:color="auto"/>
      </w:divBdr>
    </w:div>
    <w:div w:id="1199663811">
      <w:bodyDiv w:val="1"/>
      <w:marLeft w:val="0"/>
      <w:marRight w:val="0"/>
      <w:marTop w:val="0"/>
      <w:marBottom w:val="0"/>
      <w:divBdr>
        <w:top w:val="none" w:sz="0" w:space="0" w:color="auto"/>
        <w:left w:val="none" w:sz="0" w:space="0" w:color="auto"/>
        <w:bottom w:val="none" w:sz="0" w:space="0" w:color="auto"/>
        <w:right w:val="none" w:sz="0" w:space="0" w:color="auto"/>
      </w:divBdr>
    </w:div>
    <w:div w:id="1241597041">
      <w:bodyDiv w:val="1"/>
      <w:marLeft w:val="0"/>
      <w:marRight w:val="0"/>
      <w:marTop w:val="0"/>
      <w:marBottom w:val="0"/>
      <w:divBdr>
        <w:top w:val="none" w:sz="0" w:space="0" w:color="auto"/>
        <w:left w:val="none" w:sz="0" w:space="0" w:color="auto"/>
        <w:bottom w:val="none" w:sz="0" w:space="0" w:color="auto"/>
        <w:right w:val="none" w:sz="0" w:space="0" w:color="auto"/>
      </w:divBdr>
    </w:div>
    <w:div w:id="1246188989">
      <w:bodyDiv w:val="1"/>
      <w:marLeft w:val="0"/>
      <w:marRight w:val="0"/>
      <w:marTop w:val="0"/>
      <w:marBottom w:val="0"/>
      <w:divBdr>
        <w:top w:val="none" w:sz="0" w:space="0" w:color="auto"/>
        <w:left w:val="none" w:sz="0" w:space="0" w:color="auto"/>
        <w:bottom w:val="none" w:sz="0" w:space="0" w:color="auto"/>
        <w:right w:val="none" w:sz="0" w:space="0" w:color="auto"/>
      </w:divBdr>
    </w:div>
    <w:div w:id="1271665117">
      <w:bodyDiv w:val="1"/>
      <w:marLeft w:val="0"/>
      <w:marRight w:val="0"/>
      <w:marTop w:val="0"/>
      <w:marBottom w:val="0"/>
      <w:divBdr>
        <w:top w:val="none" w:sz="0" w:space="0" w:color="auto"/>
        <w:left w:val="none" w:sz="0" w:space="0" w:color="auto"/>
        <w:bottom w:val="none" w:sz="0" w:space="0" w:color="auto"/>
        <w:right w:val="none" w:sz="0" w:space="0" w:color="auto"/>
      </w:divBdr>
    </w:div>
    <w:div w:id="1298101935">
      <w:bodyDiv w:val="1"/>
      <w:marLeft w:val="0"/>
      <w:marRight w:val="0"/>
      <w:marTop w:val="0"/>
      <w:marBottom w:val="0"/>
      <w:divBdr>
        <w:top w:val="none" w:sz="0" w:space="0" w:color="auto"/>
        <w:left w:val="none" w:sz="0" w:space="0" w:color="auto"/>
        <w:bottom w:val="none" w:sz="0" w:space="0" w:color="auto"/>
        <w:right w:val="none" w:sz="0" w:space="0" w:color="auto"/>
      </w:divBdr>
    </w:div>
    <w:div w:id="1341736115">
      <w:bodyDiv w:val="1"/>
      <w:marLeft w:val="0"/>
      <w:marRight w:val="0"/>
      <w:marTop w:val="0"/>
      <w:marBottom w:val="0"/>
      <w:divBdr>
        <w:top w:val="none" w:sz="0" w:space="0" w:color="auto"/>
        <w:left w:val="none" w:sz="0" w:space="0" w:color="auto"/>
        <w:bottom w:val="none" w:sz="0" w:space="0" w:color="auto"/>
        <w:right w:val="none" w:sz="0" w:space="0" w:color="auto"/>
      </w:divBdr>
    </w:div>
    <w:div w:id="1368683026">
      <w:bodyDiv w:val="1"/>
      <w:marLeft w:val="0"/>
      <w:marRight w:val="0"/>
      <w:marTop w:val="0"/>
      <w:marBottom w:val="0"/>
      <w:divBdr>
        <w:top w:val="none" w:sz="0" w:space="0" w:color="auto"/>
        <w:left w:val="none" w:sz="0" w:space="0" w:color="auto"/>
        <w:bottom w:val="none" w:sz="0" w:space="0" w:color="auto"/>
        <w:right w:val="none" w:sz="0" w:space="0" w:color="auto"/>
      </w:divBdr>
    </w:div>
    <w:div w:id="1396856855">
      <w:bodyDiv w:val="1"/>
      <w:marLeft w:val="0"/>
      <w:marRight w:val="0"/>
      <w:marTop w:val="0"/>
      <w:marBottom w:val="0"/>
      <w:divBdr>
        <w:top w:val="none" w:sz="0" w:space="0" w:color="auto"/>
        <w:left w:val="none" w:sz="0" w:space="0" w:color="auto"/>
        <w:bottom w:val="none" w:sz="0" w:space="0" w:color="auto"/>
        <w:right w:val="none" w:sz="0" w:space="0" w:color="auto"/>
      </w:divBdr>
    </w:div>
    <w:div w:id="1411006988">
      <w:bodyDiv w:val="1"/>
      <w:marLeft w:val="0"/>
      <w:marRight w:val="0"/>
      <w:marTop w:val="0"/>
      <w:marBottom w:val="0"/>
      <w:divBdr>
        <w:top w:val="none" w:sz="0" w:space="0" w:color="auto"/>
        <w:left w:val="none" w:sz="0" w:space="0" w:color="auto"/>
        <w:bottom w:val="none" w:sz="0" w:space="0" w:color="auto"/>
        <w:right w:val="none" w:sz="0" w:space="0" w:color="auto"/>
      </w:divBdr>
    </w:div>
    <w:div w:id="1427726411">
      <w:bodyDiv w:val="1"/>
      <w:marLeft w:val="0"/>
      <w:marRight w:val="0"/>
      <w:marTop w:val="0"/>
      <w:marBottom w:val="0"/>
      <w:divBdr>
        <w:top w:val="none" w:sz="0" w:space="0" w:color="auto"/>
        <w:left w:val="none" w:sz="0" w:space="0" w:color="auto"/>
        <w:bottom w:val="none" w:sz="0" w:space="0" w:color="auto"/>
        <w:right w:val="none" w:sz="0" w:space="0" w:color="auto"/>
      </w:divBdr>
    </w:div>
    <w:div w:id="1469858388">
      <w:bodyDiv w:val="1"/>
      <w:marLeft w:val="0"/>
      <w:marRight w:val="0"/>
      <w:marTop w:val="0"/>
      <w:marBottom w:val="0"/>
      <w:divBdr>
        <w:top w:val="none" w:sz="0" w:space="0" w:color="auto"/>
        <w:left w:val="none" w:sz="0" w:space="0" w:color="auto"/>
        <w:bottom w:val="none" w:sz="0" w:space="0" w:color="auto"/>
        <w:right w:val="none" w:sz="0" w:space="0" w:color="auto"/>
      </w:divBdr>
    </w:div>
    <w:div w:id="1551843926">
      <w:bodyDiv w:val="1"/>
      <w:marLeft w:val="0"/>
      <w:marRight w:val="0"/>
      <w:marTop w:val="0"/>
      <w:marBottom w:val="0"/>
      <w:divBdr>
        <w:top w:val="none" w:sz="0" w:space="0" w:color="auto"/>
        <w:left w:val="none" w:sz="0" w:space="0" w:color="auto"/>
        <w:bottom w:val="none" w:sz="0" w:space="0" w:color="auto"/>
        <w:right w:val="none" w:sz="0" w:space="0" w:color="auto"/>
      </w:divBdr>
    </w:div>
    <w:div w:id="1586376441">
      <w:bodyDiv w:val="1"/>
      <w:marLeft w:val="0"/>
      <w:marRight w:val="0"/>
      <w:marTop w:val="0"/>
      <w:marBottom w:val="0"/>
      <w:divBdr>
        <w:top w:val="none" w:sz="0" w:space="0" w:color="auto"/>
        <w:left w:val="none" w:sz="0" w:space="0" w:color="auto"/>
        <w:bottom w:val="none" w:sz="0" w:space="0" w:color="auto"/>
        <w:right w:val="none" w:sz="0" w:space="0" w:color="auto"/>
      </w:divBdr>
    </w:div>
    <w:div w:id="1600138429">
      <w:bodyDiv w:val="1"/>
      <w:marLeft w:val="0"/>
      <w:marRight w:val="0"/>
      <w:marTop w:val="0"/>
      <w:marBottom w:val="0"/>
      <w:divBdr>
        <w:top w:val="none" w:sz="0" w:space="0" w:color="auto"/>
        <w:left w:val="none" w:sz="0" w:space="0" w:color="auto"/>
        <w:bottom w:val="none" w:sz="0" w:space="0" w:color="auto"/>
        <w:right w:val="none" w:sz="0" w:space="0" w:color="auto"/>
      </w:divBdr>
    </w:div>
    <w:div w:id="1636181760">
      <w:bodyDiv w:val="1"/>
      <w:marLeft w:val="0"/>
      <w:marRight w:val="0"/>
      <w:marTop w:val="0"/>
      <w:marBottom w:val="0"/>
      <w:divBdr>
        <w:top w:val="none" w:sz="0" w:space="0" w:color="auto"/>
        <w:left w:val="none" w:sz="0" w:space="0" w:color="auto"/>
        <w:bottom w:val="none" w:sz="0" w:space="0" w:color="auto"/>
        <w:right w:val="none" w:sz="0" w:space="0" w:color="auto"/>
      </w:divBdr>
    </w:div>
    <w:div w:id="1711804159">
      <w:bodyDiv w:val="1"/>
      <w:marLeft w:val="0"/>
      <w:marRight w:val="0"/>
      <w:marTop w:val="0"/>
      <w:marBottom w:val="0"/>
      <w:divBdr>
        <w:top w:val="none" w:sz="0" w:space="0" w:color="auto"/>
        <w:left w:val="none" w:sz="0" w:space="0" w:color="auto"/>
        <w:bottom w:val="none" w:sz="0" w:space="0" w:color="auto"/>
        <w:right w:val="none" w:sz="0" w:space="0" w:color="auto"/>
      </w:divBdr>
    </w:div>
    <w:div w:id="1721858334">
      <w:bodyDiv w:val="1"/>
      <w:marLeft w:val="0"/>
      <w:marRight w:val="0"/>
      <w:marTop w:val="0"/>
      <w:marBottom w:val="0"/>
      <w:divBdr>
        <w:top w:val="none" w:sz="0" w:space="0" w:color="auto"/>
        <w:left w:val="none" w:sz="0" w:space="0" w:color="auto"/>
        <w:bottom w:val="none" w:sz="0" w:space="0" w:color="auto"/>
        <w:right w:val="none" w:sz="0" w:space="0" w:color="auto"/>
      </w:divBdr>
    </w:div>
    <w:div w:id="1736468280">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840537305">
      <w:bodyDiv w:val="1"/>
      <w:marLeft w:val="0"/>
      <w:marRight w:val="0"/>
      <w:marTop w:val="0"/>
      <w:marBottom w:val="0"/>
      <w:divBdr>
        <w:top w:val="none" w:sz="0" w:space="0" w:color="auto"/>
        <w:left w:val="none" w:sz="0" w:space="0" w:color="auto"/>
        <w:bottom w:val="none" w:sz="0" w:space="0" w:color="auto"/>
        <w:right w:val="none" w:sz="0" w:space="0" w:color="auto"/>
      </w:divBdr>
    </w:div>
    <w:div w:id="1854760828">
      <w:bodyDiv w:val="1"/>
      <w:marLeft w:val="0"/>
      <w:marRight w:val="0"/>
      <w:marTop w:val="0"/>
      <w:marBottom w:val="0"/>
      <w:divBdr>
        <w:top w:val="none" w:sz="0" w:space="0" w:color="auto"/>
        <w:left w:val="none" w:sz="0" w:space="0" w:color="auto"/>
        <w:bottom w:val="none" w:sz="0" w:space="0" w:color="auto"/>
        <w:right w:val="none" w:sz="0" w:space="0" w:color="auto"/>
      </w:divBdr>
    </w:div>
    <w:div w:id="1861115946">
      <w:bodyDiv w:val="1"/>
      <w:marLeft w:val="0"/>
      <w:marRight w:val="0"/>
      <w:marTop w:val="0"/>
      <w:marBottom w:val="0"/>
      <w:divBdr>
        <w:top w:val="none" w:sz="0" w:space="0" w:color="auto"/>
        <w:left w:val="none" w:sz="0" w:space="0" w:color="auto"/>
        <w:bottom w:val="none" w:sz="0" w:space="0" w:color="auto"/>
        <w:right w:val="none" w:sz="0" w:space="0" w:color="auto"/>
      </w:divBdr>
    </w:div>
    <w:div w:id="1893157260">
      <w:bodyDiv w:val="1"/>
      <w:marLeft w:val="0"/>
      <w:marRight w:val="0"/>
      <w:marTop w:val="0"/>
      <w:marBottom w:val="0"/>
      <w:divBdr>
        <w:top w:val="none" w:sz="0" w:space="0" w:color="auto"/>
        <w:left w:val="none" w:sz="0" w:space="0" w:color="auto"/>
        <w:bottom w:val="none" w:sz="0" w:space="0" w:color="auto"/>
        <w:right w:val="none" w:sz="0" w:space="0" w:color="auto"/>
      </w:divBdr>
    </w:div>
    <w:div w:id="1895696394">
      <w:bodyDiv w:val="1"/>
      <w:marLeft w:val="0"/>
      <w:marRight w:val="0"/>
      <w:marTop w:val="0"/>
      <w:marBottom w:val="0"/>
      <w:divBdr>
        <w:top w:val="none" w:sz="0" w:space="0" w:color="auto"/>
        <w:left w:val="none" w:sz="0" w:space="0" w:color="auto"/>
        <w:bottom w:val="none" w:sz="0" w:space="0" w:color="auto"/>
        <w:right w:val="none" w:sz="0" w:space="0" w:color="auto"/>
      </w:divBdr>
    </w:div>
    <w:div w:id="1897084533">
      <w:bodyDiv w:val="1"/>
      <w:marLeft w:val="0"/>
      <w:marRight w:val="0"/>
      <w:marTop w:val="0"/>
      <w:marBottom w:val="0"/>
      <w:divBdr>
        <w:top w:val="none" w:sz="0" w:space="0" w:color="auto"/>
        <w:left w:val="none" w:sz="0" w:space="0" w:color="auto"/>
        <w:bottom w:val="none" w:sz="0" w:space="0" w:color="auto"/>
        <w:right w:val="none" w:sz="0" w:space="0" w:color="auto"/>
      </w:divBdr>
    </w:div>
    <w:div w:id="1950500435">
      <w:bodyDiv w:val="1"/>
      <w:marLeft w:val="0"/>
      <w:marRight w:val="0"/>
      <w:marTop w:val="0"/>
      <w:marBottom w:val="0"/>
      <w:divBdr>
        <w:top w:val="none" w:sz="0" w:space="0" w:color="auto"/>
        <w:left w:val="none" w:sz="0" w:space="0" w:color="auto"/>
        <w:bottom w:val="none" w:sz="0" w:space="0" w:color="auto"/>
        <w:right w:val="none" w:sz="0" w:space="0" w:color="auto"/>
      </w:divBdr>
    </w:div>
    <w:div w:id="2006005904">
      <w:bodyDiv w:val="1"/>
      <w:marLeft w:val="0"/>
      <w:marRight w:val="0"/>
      <w:marTop w:val="0"/>
      <w:marBottom w:val="0"/>
      <w:divBdr>
        <w:top w:val="none" w:sz="0" w:space="0" w:color="auto"/>
        <w:left w:val="none" w:sz="0" w:space="0" w:color="auto"/>
        <w:bottom w:val="none" w:sz="0" w:space="0" w:color="auto"/>
        <w:right w:val="none" w:sz="0" w:space="0" w:color="auto"/>
      </w:divBdr>
    </w:div>
    <w:div w:id="2042583689">
      <w:bodyDiv w:val="1"/>
      <w:marLeft w:val="0"/>
      <w:marRight w:val="0"/>
      <w:marTop w:val="0"/>
      <w:marBottom w:val="0"/>
      <w:divBdr>
        <w:top w:val="none" w:sz="0" w:space="0" w:color="auto"/>
        <w:left w:val="none" w:sz="0" w:space="0" w:color="auto"/>
        <w:bottom w:val="none" w:sz="0" w:space="0" w:color="auto"/>
        <w:right w:val="none" w:sz="0" w:space="0" w:color="auto"/>
      </w:divBdr>
    </w:div>
    <w:div w:id="2071226593">
      <w:bodyDiv w:val="1"/>
      <w:marLeft w:val="0"/>
      <w:marRight w:val="0"/>
      <w:marTop w:val="0"/>
      <w:marBottom w:val="0"/>
      <w:divBdr>
        <w:top w:val="none" w:sz="0" w:space="0" w:color="auto"/>
        <w:left w:val="none" w:sz="0" w:space="0" w:color="auto"/>
        <w:bottom w:val="none" w:sz="0" w:space="0" w:color="auto"/>
        <w:right w:val="none" w:sz="0" w:space="0" w:color="auto"/>
      </w:divBdr>
    </w:div>
    <w:div w:id="2087461107">
      <w:bodyDiv w:val="1"/>
      <w:marLeft w:val="0"/>
      <w:marRight w:val="0"/>
      <w:marTop w:val="0"/>
      <w:marBottom w:val="0"/>
      <w:divBdr>
        <w:top w:val="none" w:sz="0" w:space="0" w:color="auto"/>
        <w:left w:val="none" w:sz="0" w:space="0" w:color="auto"/>
        <w:bottom w:val="none" w:sz="0" w:space="0" w:color="auto"/>
        <w:right w:val="none" w:sz="0" w:space="0" w:color="auto"/>
      </w:divBdr>
    </w:div>
    <w:div w:id="2117291992">
      <w:bodyDiv w:val="1"/>
      <w:marLeft w:val="0"/>
      <w:marRight w:val="0"/>
      <w:marTop w:val="0"/>
      <w:marBottom w:val="0"/>
      <w:divBdr>
        <w:top w:val="none" w:sz="0" w:space="0" w:color="auto"/>
        <w:left w:val="none" w:sz="0" w:space="0" w:color="auto"/>
        <w:bottom w:val="none" w:sz="0" w:space="0" w:color="auto"/>
        <w:right w:val="none" w:sz="0" w:space="0" w:color="auto"/>
      </w:divBdr>
    </w:div>
    <w:div w:id="21278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22a6dd2-ec3f-4630-af3d-38cc2a3baf01">76YR7MNCUE67-132-388</_dlc_DocId>
    <_dlc_DocIdUrl xmlns="a22a6dd2-ec3f-4630-af3d-38cc2a3baf01">
      <Url>http://banspsp2010app/grupos-trabajo/dirAdmRsg/_layouts/DocIdRedir.aspx?ID=76YR7MNCUE67-132-388</Url>
      <Description>76YR7MNCUE67-132-388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88AE50BD24E854387AC8FA25D61DA52" ma:contentTypeVersion="1" ma:contentTypeDescription="Crear nuevo documento." ma:contentTypeScope="" ma:versionID="bcbf99484bd51861ffb386773b52a49e">
  <xsd:schema xmlns:xsd="http://www.w3.org/2001/XMLSchema" xmlns:xs="http://www.w3.org/2001/XMLSchema" xmlns:p="http://schemas.microsoft.com/office/2006/metadata/properties" xmlns:ns2="a22a6dd2-ec3f-4630-af3d-38cc2a3baf01" targetNamespace="http://schemas.microsoft.com/office/2006/metadata/properties" ma:root="true" ma:fieldsID="15e11314f23ef720c3c6fc1522fb610c" ns2:_="">
    <xsd:import namespace="a22a6dd2-ec3f-4630-af3d-38cc2a3baf0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6dd2-ec3f-4630-af3d-38cc2a3baf0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BA78-56AA-488E-B6A2-D76EE2DF3892}">
  <ds:schemaRefs>
    <ds:schemaRef ds:uri="http://schemas.microsoft.com/office/2006/metadata/properties"/>
    <ds:schemaRef ds:uri="http://schemas.microsoft.com/office/infopath/2007/PartnerControls"/>
    <ds:schemaRef ds:uri="a22a6dd2-ec3f-4630-af3d-38cc2a3baf01"/>
  </ds:schemaRefs>
</ds:datastoreItem>
</file>

<file path=customXml/itemProps2.xml><?xml version="1.0" encoding="utf-8"?>
<ds:datastoreItem xmlns:ds="http://schemas.openxmlformats.org/officeDocument/2006/customXml" ds:itemID="{E0F2E802-204F-47A1-BB56-8E9AD7BC3826}">
  <ds:schemaRefs>
    <ds:schemaRef ds:uri="http://schemas.microsoft.com/sharepoint/v3/contenttype/forms"/>
  </ds:schemaRefs>
</ds:datastoreItem>
</file>

<file path=customXml/itemProps3.xml><?xml version="1.0" encoding="utf-8"?>
<ds:datastoreItem xmlns:ds="http://schemas.openxmlformats.org/officeDocument/2006/customXml" ds:itemID="{0252BE06-E334-4450-A558-9C051C4818A6}">
  <ds:schemaRefs>
    <ds:schemaRef ds:uri="http://schemas.microsoft.com/sharepoint/events"/>
  </ds:schemaRefs>
</ds:datastoreItem>
</file>

<file path=customXml/itemProps4.xml><?xml version="1.0" encoding="utf-8"?>
<ds:datastoreItem xmlns:ds="http://schemas.openxmlformats.org/officeDocument/2006/customXml" ds:itemID="{D4D71DE3-86C5-49FB-A650-56B51461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6dd2-ec3f-4630-af3d-38cc2a3ba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23F716-5DBC-4621-9F06-ACD61DB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Banobras, S.N.C.</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mmontanl</dc:creator>
  <cp:lastModifiedBy>Heriberto Cuevas R.</cp:lastModifiedBy>
  <cp:revision>2</cp:revision>
  <cp:lastPrinted>2017-11-14T17:52:00Z</cp:lastPrinted>
  <dcterms:created xsi:type="dcterms:W3CDTF">2017-11-14T17:52:00Z</dcterms:created>
  <dcterms:modified xsi:type="dcterms:W3CDTF">2017-11-14T17:52:00Z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0x010100C88AE50BD24E854387AC8FA25D61DA52</vt:lpwstr>
  </property>
  <property fmtid="{D5CDD505-2E9C-101B-9397-08002B2CF9AE}" pid="3" name="_dlc_DocIdItemGuid">
    <vt:lpwstr>c64aab51-2447-4411-bfef-526787980228</vt:lpwstr>
  </property>
</Properties>
</file>